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spacing w:line="268" w:lineRule="exact" w:before="148"/>
        <w:ind w:left="3104" w:right="3048" w:hanging="3"/>
        <w:jc w:val="center"/>
        <w:rPr>
          <w:rFonts w:ascii="Palatino Linotype"/>
          <w:sz w:val="21"/>
        </w:rPr>
      </w:pPr>
      <w:r>
        <w:rPr>
          <w:rFonts w:ascii="Palatino Linotype"/>
          <w:w w:val="105"/>
          <w:sz w:val="21"/>
        </w:rPr>
        <w:t>RICHARD H. </w:t>
      </w:r>
      <w:r>
        <w:rPr>
          <w:rFonts w:ascii="Palatino Linotype"/>
          <w:spacing w:val="2"/>
          <w:w w:val="105"/>
          <w:sz w:val="21"/>
        </w:rPr>
        <w:t>MCLAREN INDEPENDENT</w:t>
      </w:r>
      <w:r>
        <w:rPr>
          <w:rFonts w:ascii="Palatino Linotype"/>
          <w:spacing w:val="53"/>
          <w:w w:val="105"/>
          <w:sz w:val="21"/>
        </w:rPr>
        <w:t> </w:t>
      </w:r>
      <w:r>
        <w:rPr>
          <w:rFonts w:ascii="Palatino Linotype"/>
          <w:w w:val="105"/>
          <w:sz w:val="21"/>
        </w:rPr>
        <w:t>PERSON</w:t>
      </w:r>
    </w:p>
    <w:p>
      <w:pPr>
        <w:spacing w:line="273" w:lineRule="exact" w:before="0"/>
        <w:ind w:left="1623" w:right="1569" w:firstLine="0"/>
        <w:jc w:val="center"/>
        <w:rPr>
          <w:rFonts w:ascii="Palatino Linotype"/>
          <w:sz w:val="21"/>
        </w:rPr>
      </w:pPr>
      <w:r>
        <w:rPr>
          <w:rFonts w:ascii="Palatino Linotype"/>
          <w:w w:val="110"/>
          <w:sz w:val="21"/>
        </w:rPr>
        <w:t>WADA INVESTIGATION OF SOCHI ALLEGATIONS</w:t>
      </w: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3"/>
        <w:rPr>
          <w:rFonts w:ascii="Palatino Linotype"/>
          <w:sz w:val="17"/>
        </w:rPr>
      </w:pPr>
    </w:p>
    <w:p>
      <w:pPr>
        <w:spacing w:before="23"/>
        <w:ind w:left="119" w:right="185" w:firstLine="0"/>
        <w:jc w:val="left"/>
        <w:rPr>
          <w:rFonts w:ascii="Palatino Linotype"/>
          <w:sz w:val="21"/>
        </w:rPr>
      </w:pPr>
      <w:r>
        <w:rPr>
          <w:rFonts w:ascii="Palatino Linotype"/>
          <w:w w:val="105"/>
          <w:sz w:val="21"/>
        </w:rPr>
        <w:t>16 July 2016</w:t>
      </w:r>
    </w:p>
    <w:p>
      <w:pPr>
        <w:pStyle w:val="BodyText"/>
        <w:spacing w:before="6"/>
        <w:rPr>
          <w:rFonts w:ascii="Palatino Linotype"/>
          <w:sz w:val="18"/>
        </w:rPr>
      </w:pPr>
    </w:p>
    <w:p>
      <w:pPr>
        <w:spacing w:before="0"/>
        <w:ind w:left="119" w:right="185" w:firstLine="0"/>
        <w:jc w:val="left"/>
        <w:rPr>
          <w:rFonts w:ascii="Palatino Linotype"/>
          <w:sz w:val="21"/>
        </w:rPr>
      </w:pPr>
      <w:r>
        <w:rPr>
          <w:rFonts w:ascii="Palatino Linotype"/>
          <w:w w:val="105"/>
          <w:sz w:val="21"/>
        </w:rPr>
        <w:t>Via Email:   </w:t>
      </w:r>
      <w:hyperlink r:id="rId5">
        <w:r>
          <w:rPr>
            <w:rFonts w:ascii="Palatino Linotype"/>
            <w:color w:val="0000FF"/>
            <w:w w:val="105"/>
            <w:sz w:val="21"/>
            <w:u w:val="single" w:color="0000FF"/>
          </w:rPr>
          <w:t>Olivier.Niggli@wada-ama.org</w:t>
        </w:r>
      </w:hyperlink>
      <w:r>
        <w:rPr>
          <w:rFonts w:ascii="Palatino Linotype"/>
          <w:color w:val="0000FF"/>
          <w:w w:val="105"/>
          <w:sz w:val="21"/>
          <w:u w:val="single" w:color="0000FF"/>
        </w:rPr>
        <w:t>   </w:t>
      </w:r>
      <w:r>
        <w:rPr>
          <w:rFonts w:ascii="Palatino Linotype"/>
          <w:w w:val="105"/>
          <w:sz w:val="21"/>
        </w:rPr>
        <w:t>to be forwarded</w:t>
      </w:r>
    </w:p>
    <w:p>
      <w:pPr>
        <w:pStyle w:val="BodyText"/>
        <w:spacing w:before="5"/>
        <w:rPr>
          <w:rFonts w:ascii="Palatino Linotype"/>
          <w:sz w:val="16"/>
        </w:rPr>
      </w:pPr>
    </w:p>
    <w:p>
      <w:pPr>
        <w:spacing w:line="225" w:lineRule="auto" w:before="37"/>
        <w:ind w:left="119" w:right="5534" w:firstLine="0"/>
        <w:jc w:val="left"/>
        <w:rPr>
          <w:rFonts w:ascii="Palatino Linotype"/>
          <w:sz w:val="21"/>
        </w:rPr>
      </w:pPr>
      <w:r>
        <w:rPr>
          <w:rFonts w:ascii="Palatino Linotype"/>
          <w:w w:val="105"/>
          <w:sz w:val="21"/>
        </w:rPr>
        <w:t>President Sir Craig Reedie World Anti-Doping Agency Stock Exchange Tower</w:t>
      </w:r>
    </w:p>
    <w:p>
      <w:pPr>
        <w:spacing w:line="223" w:lineRule="auto" w:before="0"/>
        <w:ind w:left="119" w:right="5534" w:firstLine="0"/>
        <w:jc w:val="left"/>
        <w:rPr>
          <w:rFonts w:ascii="Palatino Linotype"/>
          <w:sz w:val="21"/>
        </w:rPr>
      </w:pPr>
      <w:r>
        <w:rPr>
          <w:rFonts w:ascii="Palatino Linotype"/>
          <w:w w:val="105"/>
          <w:sz w:val="21"/>
        </w:rPr>
        <w:t>800 Place Victoria (Suite 1700) Montreal, QC   H4Z 1B7</w:t>
      </w:r>
    </w:p>
    <w:p>
      <w:pPr>
        <w:tabs>
          <w:tab w:pos="836" w:val="left" w:leader="none"/>
        </w:tabs>
        <w:spacing w:line="273" w:lineRule="exact" w:before="0"/>
        <w:ind w:left="119" w:right="185" w:firstLine="0"/>
        <w:jc w:val="left"/>
        <w:rPr>
          <w:rFonts w:ascii="Palatino Linotype"/>
          <w:sz w:val="21"/>
        </w:rPr>
      </w:pPr>
      <w:r>
        <w:rPr>
          <w:rFonts w:ascii="Palatino Linotype"/>
          <w:w w:val="105"/>
          <w:sz w:val="21"/>
        </w:rPr>
        <w:t>Re:</w:t>
        <w:tab/>
      </w:r>
      <w:r>
        <w:rPr>
          <w:w w:val="105"/>
          <w:sz w:val="21"/>
          <w:u w:val="single"/>
        </w:rPr>
        <w:t> </w:t>
      </w:r>
      <w:r>
        <w:rPr>
          <w:rFonts w:ascii="Palatino Linotype"/>
          <w:w w:val="105"/>
          <w:sz w:val="21"/>
          <w:u w:val="single"/>
        </w:rPr>
        <w:t>Report to the President of WADA by the   Independent </w:t>
      </w:r>
      <w:r>
        <w:rPr>
          <w:rFonts w:ascii="Palatino Linotype"/>
          <w:spacing w:val="36"/>
          <w:w w:val="105"/>
          <w:sz w:val="21"/>
          <w:u w:val="single"/>
        </w:rPr>
        <w:t> </w:t>
      </w:r>
      <w:r>
        <w:rPr>
          <w:rFonts w:ascii="Palatino Linotype"/>
          <w:w w:val="105"/>
          <w:sz w:val="21"/>
          <w:u w:val="single"/>
        </w:rPr>
        <w:t>Person</w:t>
      </w:r>
    </w:p>
    <w:p>
      <w:pPr>
        <w:pStyle w:val="BodyText"/>
        <w:spacing w:before="5"/>
        <w:rPr>
          <w:rFonts w:ascii="Palatino Linotype"/>
          <w:sz w:val="16"/>
        </w:rPr>
      </w:pPr>
    </w:p>
    <w:p>
      <w:pPr>
        <w:spacing w:before="24"/>
        <w:ind w:left="119" w:right="185" w:firstLine="0"/>
        <w:jc w:val="left"/>
        <w:rPr>
          <w:rFonts w:ascii="Palatino Linotype"/>
          <w:sz w:val="21"/>
        </w:rPr>
      </w:pPr>
      <w:r>
        <w:rPr>
          <w:rFonts w:ascii="Palatino Linotype"/>
          <w:w w:val="105"/>
          <w:sz w:val="21"/>
        </w:rPr>
        <w:t>Dear  President Reedie:</w:t>
      </w:r>
    </w:p>
    <w:p>
      <w:pPr>
        <w:pStyle w:val="BodyText"/>
        <w:spacing w:before="2"/>
        <w:rPr>
          <w:rFonts w:ascii="Palatino Linotype"/>
          <w:sz w:val="19"/>
        </w:rPr>
      </w:pPr>
    </w:p>
    <w:p>
      <w:pPr>
        <w:spacing w:line="264" w:lineRule="exact" w:before="0"/>
        <w:ind w:left="119" w:right="185" w:firstLine="0"/>
        <w:jc w:val="left"/>
        <w:rPr>
          <w:rFonts w:ascii="Palatino Linotype"/>
          <w:sz w:val="21"/>
        </w:rPr>
      </w:pPr>
      <w:r>
        <w:rPr>
          <w:rFonts w:ascii="Palatino Linotype"/>
          <w:w w:val="105"/>
          <w:sz w:val="21"/>
        </w:rPr>
        <w:t>I, as the Independent Person, have completed the enclosed Report, dated 16 July 2016, which is submitted to you pursuant to the Terms of Reference that established the</w:t>
      </w:r>
    </w:p>
    <w:p>
      <w:pPr>
        <w:spacing w:line="264" w:lineRule="exact" w:before="0"/>
        <w:ind w:left="119" w:right="185" w:firstLine="0"/>
        <w:jc w:val="left"/>
        <w:rPr>
          <w:rFonts w:ascii="Palatino Linotype"/>
          <w:sz w:val="21"/>
        </w:rPr>
      </w:pPr>
      <w:r>
        <w:rPr>
          <w:rFonts w:ascii="Palatino Linotype"/>
          <w:w w:val="105"/>
          <w:sz w:val="21"/>
        </w:rPr>
        <w:t>Independent Investigation. This Report fulfills partially the mandate of the Independent Person.   I appreciate having had the opportunity to be of   service.</w:t>
      </w:r>
    </w:p>
    <w:p>
      <w:pPr>
        <w:pStyle w:val="BodyText"/>
        <w:rPr>
          <w:rFonts w:ascii="Palatino Linotype"/>
          <w:sz w:val="22"/>
        </w:rPr>
      </w:pPr>
    </w:p>
    <w:p>
      <w:pPr>
        <w:pStyle w:val="BodyText"/>
        <w:rPr>
          <w:rFonts w:ascii="Palatino Linotype"/>
          <w:sz w:val="22"/>
        </w:rPr>
      </w:pPr>
    </w:p>
    <w:p>
      <w:pPr>
        <w:spacing w:before="170"/>
        <w:ind w:left="119" w:right="185" w:firstLine="0"/>
        <w:jc w:val="left"/>
        <w:rPr>
          <w:rFonts w:ascii="Palatino Linotype"/>
          <w:sz w:val="21"/>
        </w:rPr>
      </w:pPr>
      <w:r>
        <w:rPr>
          <w:rFonts w:ascii="Palatino Linotype"/>
          <w:w w:val="105"/>
          <w:sz w:val="21"/>
        </w:rPr>
        <w:t>Yours truly,</w:t>
      </w:r>
    </w:p>
    <w:p>
      <w:pPr>
        <w:pStyle w:val="BodyText"/>
        <w:spacing w:before="11"/>
        <w:rPr>
          <w:rFonts w:ascii="Palatino Linotype"/>
          <w:sz w:val="14"/>
        </w:rPr>
      </w:pPr>
      <w:r>
        <w:rPr/>
        <w:drawing>
          <wp:anchor distT="0" distB="0" distL="0" distR="0" allowOverlap="1" layoutInCell="1" locked="0" behindDoc="0" simplePos="0" relativeHeight="0">
            <wp:simplePos x="0" y="0"/>
            <wp:positionH relativeFrom="page">
              <wp:posOffset>1153667</wp:posOffset>
            </wp:positionH>
            <wp:positionV relativeFrom="paragraph">
              <wp:posOffset>152114</wp:posOffset>
            </wp:positionV>
            <wp:extent cx="2183053" cy="606742"/>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2183053" cy="606742"/>
                    </a:xfrm>
                    <a:prstGeom prst="rect">
                      <a:avLst/>
                    </a:prstGeom>
                  </pic:spPr>
                </pic:pic>
              </a:graphicData>
            </a:graphic>
          </wp:anchor>
        </w:drawing>
      </w:r>
    </w:p>
    <w:p>
      <w:pPr>
        <w:spacing w:line="274" w:lineRule="exact" w:before="196"/>
        <w:ind w:left="119" w:right="185" w:firstLine="0"/>
        <w:jc w:val="left"/>
        <w:rPr>
          <w:rFonts w:ascii="Palatino Linotype"/>
          <w:sz w:val="21"/>
        </w:rPr>
      </w:pPr>
      <w:r>
        <w:rPr>
          <w:rFonts w:ascii="Palatino Linotype"/>
          <w:w w:val="105"/>
          <w:sz w:val="21"/>
        </w:rPr>
        <w:t>Richard H. McLaren</w:t>
      </w:r>
    </w:p>
    <w:p>
      <w:pPr>
        <w:spacing w:line="274" w:lineRule="exact" w:before="0"/>
        <w:ind w:left="119" w:right="185" w:firstLine="0"/>
        <w:jc w:val="left"/>
        <w:rPr>
          <w:rFonts w:ascii="Palatino Linotype"/>
          <w:sz w:val="21"/>
        </w:rPr>
      </w:pPr>
      <w:r>
        <w:rPr>
          <w:rFonts w:ascii="Palatino Linotype"/>
          <w:w w:val="110"/>
          <w:sz w:val="21"/>
        </w:rPr>
        <w:t>IP in Sochi Investigation</w:t>
      </w:r>
    </w:p>
    <w:p>
      <w:pPr>
        <w:pStyle w:val="BodyText"/>
        <w:spacing w:before="6"/>
        <w:rPr>
          <w:rFonts w:ascii="Palatino Linotype"/>
          <w:sz w:val="18"/>
        </w:rPr>
      </w:pPr>
    </w:p>
    <w:p>
      <w:pPr>
        <w:spacing w:before="0"/>
        <w:ind w:left="116" w:right="185" w:firstLine="0"/>
        <w:jc w:val="left"/>
        <w:rPr>
          <w:rFonts w:ascii="Palatino Linotype"/>
          <w:sz w:val="21"/>
        </w:rPr>
      </w:pPr>
      <w:r>
        <w:rPr>
          <w:color w:val="0000FF"/>
          <w:spacing w:val="-52"/>
          <w:w w:val="102"/>
          <w:sz w:val="21"/>
          <w:u w:val="single" w:color="0000FF"/>
        </w:rPr>
        <w:t> </w:t>
      </w:r>
      <w:hyperlink r:id="rId7">
        <w:r>
          <w:rPr>
            <w:rFonts w:ascii="Palatino Linotype"/>
            <w:color w:val="0000FF"/>
            <w:w w:val="105"/>
            <w:sz w:val="21"/>
            <w:u w:val="single" w:color="0000FF"/>
          </w:rPr>
          <w:t>mclaren@mckenzielake.com</w:t>
        </w:r>
      </w:hyperlink>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7"/>
        <w:rPr>
          <w:rFonts w:ascii="Palatino Linotype"/>
          <w:sz w:val="21"/>
        </w:rPr>
      </w:pPr>
      <w:r>
        <w:rPr/>
        <w:pict>
          <v:shape style="position:absolute;margin-left:514.559998pt;margin-top:16.505196pt;width:2.3pt;height:7.95pt;mso-position-horizontal-relative:page;mso-position-vertical-relative:paragraph;z-index:1048;mso-wrap-distance-left:0;mso-wrap-distance-right:0" coordorigin="10291,330" coordsize="46,159" path="m10327,330l10306,330,10306,352,10327,352,10327,330xm10334,481l10298,481,10296,484,10294,484,10294,489,10337,489,10337,484,10334,481xm10330,479l10301,479,10301,481,10332,481,10330,479xm10325,376l10291,376,10291,381,10294,381,10298,383,10301,383,10303,385,10303,388,10306,388,10306,472,10303,474,10303,479,10327,479,10327,477,10325,474,10325,376xe" filled="true" fillcolor="#000000" stroked="false">
            <v:path arrowok="t"/>
            <v:fill type="solid"/>
            <w10:wrap type="topAndBottom"/>
          </v:shape>
        </w:pict>
      </w:r>
    </w:p>
    <w:p>
      <w:pPr>
        <w:spacing w:after="0"/>
        <w:rPr>
          <w:rFonts w:ascii="Palatino Linotype"/>
          <w:sz w:val="21"/>
        </w:rPr>
        <w:sectPr>
          <w:type w:val="continuous"/>
          <w:pgSz w:w="12240" w:h="15840"/>
          <w:pgMar w:top="1500" w:bottom="280" w:left="1700" w:right="172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3"/>
        <w:rPr>
          <w:rFonts w:ascii="Palatino Linotype"/>
          <w:sz w:val="21"/>
        </w:rPr>
      </w:pPr>
    </w:p>
    <w:p>
      <w:pPr>
        <w:pStyle w:val="BodyText"/>
        <w:spacing w:before="41"/>
        <w:ind w:left="2506"/>
        <w:rPr>
          <w:rFonts w:ascii="Palatino Linotype"/>
        </w:rPr>
      </w:pPr>
      <w:r>
        <w:rPr>
          <w:spacing w:val="-58"/>
          <w:u w:val="single"/>
        </w:rPr>
        <w:t> </w:t>
      </w:r>
      <w:r>
        <w:rPr>
          <w:rFonts w:ascii="Palatino Linotype"/>
          <w:w w:val="105"/>
          <w:u w:val="single"/>
        </w:rPr>
        <w:t>THE INDEPENDENT PERSON REPORT</w:t>
      </w: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11"/>
        <w:rPr>
          <w:rFonts w:ascii="Palatino Linotype"/>
          <w:sz w:val="23"/>
        </w:rPr>
      </w:pPr>
    </w:p>
    <w:p>
      <w:pPr>
        <w:pStyle w:val="BodyText"/>
        <w:spacing w:before="8"/>
        <w:ind w:left="741"/>
        <w:jc w:val="center"/>
        <w:rPr>
          <w:rFonts w:ascii="Palatino Linotype"/>
        </w:rPr>
      </w:pPr>
      <w:r>
        <w:rPr>
          <w:spacing w:val="-58"/>
          <w:u w:val="single"/>
        </w:rPr>
        <w:t> </w:t>
      </w:r>
      <w:r>
        <w:rPr>
          <w:rFonts w:ascii="Palatino Linotype"/>
          <w:u w:val="single"/>
        </w:rPr>
        <w:t>18 July 2016</w:t>
      </w:r>
    </w:p>
    <w:p>
      <w:pPr>
        <w:spacing w:after="0"/>
        <w:jc w:val="center"/>
        <w:rPr>
          <w:rFonts w:ascii="Palatino Linotype"/>
        </w:rPr>
        <w:sectPr>
          <w:pgSz w:w="12240" w:h="15840"/>
          <w:pgMar w:top="1500" w:bottom="280" w:left="1720" w:right="172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8"/>
        <w:rPr>
          <w:rFonts w:ascii="Palatino Linotype"/>
          <w:sz w:val="14"/>
        </w:rPr>
      </w:pPr>
    </w:p>
    <w:p>
      <w:pPr>
        <w:pStyle w:val="Heading1"/>
        <w:spacing w:before="25"/>
        <w:jc w:val="left"/>
        <w:rPr>
          <w:rFonts w:ascii="Times New Roman"/>
        </w:rPr>
      </w:pPr>
      <w:r>
        <w:rPr>
          <w:rFonts w:ascii="Times New Roman"/>
          <w:color w:val="365F91"/>
          <w:w w:val="115"/>
        </w:rPr>
        <w:t>Table of Contents</w:t>
      </w:r>
    </w:p>
    <w:p>
      <w:pPr>
        <w:spacing w:after="0"/>
        <w:jc w:val="left"/>
        <w:rPr>
          <w:rFonts w:ascii="Times New Roman"/>
        </w:rPr>
        <w:sectPr>
          <w:footerReference w:type="default" r:id="rId8"/>
          <w:pgSz w:w="12240" w:h="15840"/>
          <w:pgMar w:footer="702" w:header="0" w:top="1500" w:bottom="1414" w:left="1700" w:right="1680"/>
        </w:sectPr>
      </w:pPr>
    </w:p>
    <w:sdt>
      <w:sdtPr>
        <w:docPartObj>
          <w:docPartGallery w:val="Table of Contents"/>
          <w:docPartUnique/>
        </w:docPartObj>
      </w:sdtPr>
      <w:sdtEndPr/>
      <w:sdtContent>
        <w:p>
          <w:pPr>
            <w:pStyle w:val="TOC1"/>
            <w:tabs>
              <w:tab w:pos="8736" w:val="right" w:leader="dot"/>
            </w:tabs>
            <w:spacing w:before="190"/>
          </w:pPr>
          <w:hyperlink w:history="true" w:anchor="_TOC_250007">
            <w:r>
              <w:rPr>
                <w:w w:val="115"/>
              </w:rPr>
              <w:t>Glossary</w:t>
              <w:tab/>
              <w:t>iii</w:t>
            </w:r>
          </w:hyperlink>
        </w:p>
        <w:p>
          <w:pPr>
            <w:pStyle w:val="TOC1"/>
            <w:tabs>
              <w:tab w:pos="8735" w:val="right" w:leader="dot"/>
            </w:tabs>
            <w:spacing w:before="132"/>
          </w:pPr>
          <w:hyperlink w:history="true" w:anchor="_TOC_250006">
            <w:r>
              <w:rPr>
                <w:w w:val="110"/>
              </w:rPr>
              <w:t>Chapter 1: Executive Summary of</w:t>
            </w:r>
            <w:r>
              <w:rPr>
                <w:spacing w:val="-28"/>
                <w:w w:val="110"/>
              </w:rPr>
              <w:t> </w:t>
            </w:r>
            <w:r>
              <w:rPr>
                <w:w w:val="110"/>
              </w:rPr>
              <w:t>this</w:t>
            </w:r>
            <w:r>
              <w:rPr>
                <w:spacing w:val="-6"/>
                <w:w w:val="110"/>
              </w:rPr>
              <w:t> </w:t>
            </w:r>
            <w:r>
              <w:rPr>
                <w:w w:val="110"/>
              </w:rPr>
              <w:t>Report</w:t>
              <w:tab/>
              <w:t>1</w:t>
            </w:r>
          </w:hyperlink>
        </w:p>
        <w:p>
          <w:pPr>
            <w:pStyle w:val="TOC2"/>
            <w:numPr>
              <w:ilvl w:val="1"/>
              <w:numId w:val="1"/>
            </w:numPr>
            <w:tabs>
              <w:tab w:pos="688" w:val="left" w:leader="none"/>
              <w:tab w:pos="8741" w:val="right" w:leader="dot"/>
            </w:tabs>
            <w:spacing w:line="240" w:lineRule="auto" w:before="21" w:after="0"/>
            <w:ind w:left="359" w:right="0" w:firstLine="0"/>
            <w:jc w:val="left"/>
          </w:pPr>
          <w:r>
            <w:rPr>
              <w:w w:val="115"/>
            </w:rPr>
            <w:t>Introduction</w:t>
            <w:tab/>
            <w:t>1</w:t>
          </w:r>
        </w:p>
        <w:p>
          <w:pPr>
            <w:pStyle w:val="TOC2"/>
            <w:numPr>
              <w:ilvl w:val="1"/>
              <w:numId w:val="1"/>
            </w:numPr>
            <w:tabs>
              <w:tab w:pos="688" w:val="left" w:leader="none"/>
              <w:tab w:pos="8724" w:val="right" w:leader="dot"/>
            </w:tabs>
            <w:spacing w:line="261" w:lineRule="auto" w:before="27" w:after="0"/>
            <w:ind w:left="359" w:right="116" w:firstLine="0"/>
            <w:jc w:val="left"/>
          </w:pPr>
          <w:r>
            <w:rPr>
              <w:w w:val="120"/>
            </w:rPr>
            <w:t>Creation and Terms of Reference of the Independent Investigation into Sochi and</w:t>
          </w:r>
          <w:r>
            <w:rPr>
              <w:spacing w:val="-2"/>
              <w:w w:val="120"/>
            </w:rPr>
            <w:t> </w:t>
          </w:r>
          <w:r>
            <w:rPr>
              <w:w w:val="120"/>
            </w:rPr>
            <w:t>Other Allegations</w:t>
          </w:r>
          <w:r>
            <w:rPr>
              <w:w w:val="102"/>
            </w:rPr>
            <w:t> </w:t>
          </w:r>
          <w:r>
            <w:rPr/>
            <w:tab/>
          </w:r>
          <w:r>
            <w:rPr>
              <w:w w:val="32"/>
            </w:rPr>
            <w:t> </w:t>
          </w:r>
          <w:r>
            <w:rPr>
              <w:w w:val="120"/>
            </w:rPr>
            <w:t>2</w:t>
          </w:r>
        </w:p>
        <w:p>
          <w:pPr>
            <w:pStyle w:val="TOC2"/>
            <w:numPr>
              <w:ilvl w:val="1"/>
              <w:numId w:val="1"/>
            </w:numPr>
            <w:tabs>
              <w:tab w:pos="688" w:val="left" w:leader="none"/>
              <w:tab w:pos="8742" w:val="right" w:leader="dot"/>
            </w:tabs>
            <w:spacing w:line="240" w:lineRule="auto" w:before="1" w:after="0"/>
            <w:ind w:left="688" w:right="0" w:hanging="329"/>
            <w:jc w:val="left"/>
          </w:pPr>
          <w:r>
            <w:rPr>
              <w:spacing w:val="2"/>
              <w:w w:val="115"/>
            </w:rPr>
            <w:t>Summary </w:t>
          </w:r>
          <w:r>
            <w:rPr>
              <w:w w:val="115"/>
            </w:rPr>
            <w:t>of the Evidence</w:t>
          </w:r>
          <w:r>
            <w:rPr>
              <w:spacing w:val="-15"/>
              <w:w w:val="115"/>
            </w:rPr>
            <w:t> </w:t>
          </w:r>
          <w:r>
            <w:rPr>
              <w:w w:val="115"/>
            </w:rPr>
            <w:t>Gathering</w:t>
          </w:r>
          <w:r>
            <w:rPr>
              <w:spacing w:val="-2"/>
              <w:w w:val="115"/>
            </w:rPr>
            <w:t> </w:t>
          </w:r>
          <w:r>
            <w:rPr>
              <w:w w:val="115"/>
            </w:rPr>
            <w:t>Process</w:t>
            <w:tab/>
            <w:t>5</w:t>
          </w:r>
        </w:p>
        <w:p>
          <w:pPr>
            <w:pStyle w:val="TOC2"/>
            <w:numPr>
              <w:ilvl w:val="1"/>
              <w:numId w:val="1"/>
            </w:numPr>
            <w:tabs>
              <w:tab w:pos="688" w:val="left" w:leader="none"/>
              <w:tab w:pos="8741" w:val="right" w:leader="dot"/>
            </w:tabs>
            <w:spacing w:line="240" w:lineRule="auto" w:before="22" w:after="0"/>
            <w:ind w:left="688" w:right="0" w:hanging="329"/>
            <w:jc w:val="left"/>
          </w:pPr>
          <w:r>
            <w:rPr>
              <w:w w:val="115"/>
            </w:rPr>
            <w:t>Witnesses</w:t>
            <w:tab/>
            <w:t>7</w:t>
          </w:r>
        </w:p>
        <w:p>
          <w:pPr>
            <w:pStyle w:val="TOC2"/>
            <w:numPr>
              <w:ilvl w:val="1"/>
              <w:numId w:val="1"/>
            </w:numPr>
            <w:tabs>
              <w:tab w:pos="689" w:val="left" w:leader="none"/>
              <w:tab w:pos="8742" w:val="right" w:leader="dot"/>
            </w:tabs>
            <w:spacing w:line="240" w:lineRule="auto" w:before="27" w:after="0"/>
            <w:ind w:left="688" w:right="0" w:hanging="329"/>
            <w:jc w:val="left"/>
          </w:pPr>
          <w:r>
            <w:rPr>
              <w:w w:val="120"/>
            </w:rPr>
            <w:t>Findings of IC and Relationship to</w:t>
          </w:r>
          <w:r>
            <w:rPr>
              <w:spacing w:val="-39"/>
              <w:w w:val="120"/>
            </w:rPr>
            <w:t> </w:t>
          </w:r>
          <w:r>
            <w:rPr>
              <w:w w:val="120"/>
            </w:rPr>
            <w:t>IP</w:t>
          </w:r>
          <w:r>
            <w:rPr>
              <w:spacing w:val="-6"/>
              <w:w w:val="120"/>
            </w:rPr>
            <w:t> </w:t>
          </w:r>
          <w:r>
            <w:rPr>
              <w:w w:val="120"/>
            </w:rPr>
            <w:t>Investigation</w:t>
            <w:tab/>
            <w:t>8</w:t>
          </w:r>
        </w:p>
        <w:p>
          <w:pPr>
            <w:pStyle w:val="TOC2"/>
            <w:numPr>
              <w:ilvl w:val="1"/>
              <w:numId w:val="1"/>
            </w:numPr>
            <w:tabs>
              <w:tab w:pos="689" w:val="left" w:leader="none"/>
              <w:tab w:pos="8743" w:val="right" w:leader="dot"/>
            </w:tabs>
            <w:spacing w:line="240" w:lineRule="auto" w:before="22" w:after="0"/>
            <w:ind w:left="688" w:right="0" w:hanging="329"/>
            <w:jc w:val="left"/>
          </w:pPr>
          <w:r>
            <w:rPr>
              <w:w w:val="120"/>
            </w:rPr>
            <w:t>Overall Outcomes of the</w:t>
          </w:r>
          <w:r>
            <w:rPr>
              <w:spacing w:val="-23"/>
              <w:w w:val="120"/>
            </w:rPr>
            <w:t> </w:t>
          </w:r>
          <w:r>
            <w:rPr>
              <w:w w:val="120"/>
            </w:rPr>
            <w:t>Independent</w:t>
          </w:r>
          <w:r>
            <w:rPr>
              <w:spacing w:val="-6"/>
              <w:w w:val="120"/>
            </w:rPr>
            <w:t> </w:t>
          </w:r>
          <w:r>
            <w:rPr>
              <w:w w:val="120"/>
            </w:rPr>
            <w:t>Investigation</w:t>
            <w:tab/>
            <w:t>9</w:t>
          </w:r>
        </w:p>
        <w:p>
          <w:pPr>
            <w:pStyle w:val="TOC1"/>
            <w:tabs>
              <w:tab w:pos="8731" w:val="right" w:leader="dot"/>
            </w:tabs>
          </w:pPr>
          <w:hyperlink w:history="true" w:anchor="_TOC_250005">
            <w:r>
              <w:rPr>
                <w:w w:val="110"/>
              </w:rPr>
              <w:t>Chapter 2: The IP</w:t>
            </w:r>
            <w:r>
              <w:rPr>
                <w:spacing w:val="-23"/>
                <w:w w:val="110"/>
              </w:rPr>
              <w:t> </w:t>
            </w:r>
            <w:r>
              <w:rPr>
                <w:w w:val="110"/>
              </w:rPr>
              <w:t>Investigation</w:t>
            </w:r>
            <w:r>
              <w:rPr>
                <w:spacing w:val="-6"/>
                <w:w w:val="110"/>
              </w:rPr>
              <w:t> </w:t>
            </w:r>
            <w:r>
              <w:rPr>
                <w:w w:val="110"/>
              </w:rPr>
              <w:t>Method</w:t>
              <w:tab/>
              <w:t>18</w:t>
            </w:r>
          </w:hyperlink>
        </w:p>
        <w:p>
          <w:pPr>
            <w:pStyle w:val="TOC2"/>
            <w:numPr>
              <w:ilvl w:val="1"/>
              <w:numId w:val="2"/>
            </w:numPr>
            <w:tabs>
              <w:tab w:pos="688" w:val="left" w:leader="none"/>
              <w:tab w:pos="8741" w:val="right" w:leader="dot"/>
            </w:tabs>
            <w:spacing w:line="240" w:lineRule="auto" w:before="21" w:after="0"/>
            <w:ind w:left="688" w:right="0" w:hanging="329"/>
            <w:jc w:val="left"/>
          </w:pPr>
          <w:r>
            <w:rPr>
              <w:w w:val="115"/>
            </w:rPr>
            <w:t>Introduction</w:t>
            <w:tab/>
            <w:t>18</w:t>
          </w:r>
        </w:p>
        <w:p>
          <w:pPr>
            <w:pStyle w:val="TOC2"/>
            <w:numPr>
              <w:ilvl w:val="1"/>
              <w:numId w:val="2"/>
            </w:numPr>
            <w:tabs>
              <w:tab w:pos="688" w:val="left" w:leader="none"/>
              <w:tab w:pos="8743" w:val="right" w:leader="dot"/>
            </w:tabs>
            <w:spacing w:line="240" w:lineRule="auto" w:before="27" w:after="0"/>
            <w:ind w:left="688" w:right="0" w:hanging="329"/>
            <w:jc w:val="left"/>
          </w:pPr>
          <w:r>
            <w:rPr>
              <w:w w:val="115"/>
            </w:rPr>
            <w:t>The</w:t>
          </w:r>
          <w:r>
            <w:rPr>
              <w:spacing w:val="-8"/>
              <w:w w:val="115"/>
            </w:rPr>
            <w:t> </w:t>
          </w:r>
          <w:r>
            <w:rPr>
              <w:w w:val="115"/>
            </w:rPr>
            <w:t>Investigation</w:t>
          </w:r>
          <w:r>
            <w:rPr>
              <w:spacing w:val="-1"/>
              <w:w w:val="115"/>
            </w:rPr>
            <w:t> </w:t>
          </w:r>
          <w:r>
            <w:rPr>
              <w:w w:val="115"/>
            </w:rPr>
            <w:t>Process</w:t>
            <w:tab/>
            <w:t>19</w:t>
          </w:r>
        </w:p>
        <w:p>
          <w:pPr>
            <w:pStyle w:val="TOC2"/>
            <w:numPr>
              <w:ilvl w:val="1"/>
              <w:numId w:val="2"/>
            </w:numPr>
            <w:tabs>
              <w:tab w:pos="688" w:val="left" w:leader="none"/>
              <w:tab w:pos="8742" w:val="right" w:leader="dot"/>
            </w:tabs>
            <w:spacing w:line="241" w:lineRule="exact" w:before="22" w:after="0"/>
            <w:ind w:left="687" w:right="0" w:hanging="328"/>
            <w:jc w:val="left"/>
          </w:pPr>
          <w:r>
            <w:rPr>
              <w:w w:val="120"/>
            </w:rPr>
            <w:t>The</w:t>
          </w:r>
          <w:r>
            <w:rPr>
              <w:spacing w:val="-11"/>
              <w:w w:val="120"/>
            </w:rPr>
            <w:t> </w:t>
          </w:r>
          <w:r>
            <w:rPr>
              <w:w w:val="120"/>
            </w:rPr>
            <w:t>Investigation</w:t>
          </w:r>
          <w:r>
            <w:rPr>
              <w:spacing w:val="-4"/>
              <w:w w:val="120"/>
            </w:rPr>
            <w:t> </w:t>
          </w:r>
          <w:r>
            <w:rPr>
              <w:w w:val="120"/>
            </w:rPr>
            <w:t>Procedure</w:t>
            <w:tab/>
            <w:t>21</w:t>
          </w:r>
        </w:p>
        <w:p>
          <w:pPr>
            <w:pStyle w:val="TOC3"/>
            <w:numPr>
              <w:ilvl w:val="2"/>
              <w:numId w:val="2"/>
            </w:numPr>
            <w:tabs>
              <w:tab w:pos="1093" w:val="left" w:leader="none"/>
              <w:tab w:pos="8742" w:val="right" w:leader="dot"/>
            </w:tabs>
            <w:spacing w:line="282" w:lineRule="exact" w:before="0" w:after="0"/>
            <w:ind w:left="1092" w:right="0" w:hanging="493"/>
            <w:jc w:val="left"/>
          </w:pPr>
          <w:r>
            <w:rPr>
              <w:w w:val="105"/>
            </w:rPr>
            <w:t>IP Findings</w:t>
          </w:r>
          <w:r>
            <w:rPr>
              <w:rFonts w:ascii="Times New Roman"/>
              <w:w w:val="105"/>
            </w:rPr>
            <w:tab/>
          </w:r>
          <w:r>
            <w:rPr>
              <w:w w:val="105"/>
            </w:rPr>
            <w:t>23</w:t>
          </w:r>
        </w:p>
        <w:p>
          <w:pPr>
            <w:pStyle w:val="TOC2"/>
            <w:numPr>
              <w:ilvl w:val="1"/>
              <w:numId w:val="2"/>
            </w:numPr>
            <w:tabs>
              <w:tab w:pos="688" w:val="left" w:leader="none"/>
              <w:tab w:pos="8742" w:val="right" w:leader="dot"/>
            </w:tabs>
            <w:spacing w:line="240" w:lineRule="auto" w:before="5" w:after="0"/>
            <w:ind w:left="688" w:right="0" w:hanging="329"/>
            <w:jc w:val="left"/>
          </w:pPr>
          <w:r>
            <w:rPr>
              <w:w w:val="115"/>
            </w:rPr>
            <w:t>The</w:t>
          </w:r>
          <w:r>
            <w:rPr>
              <w:spacing w:val="-8"/>
              <w:w w:val="115"/>
            </w:rPr>
            <w:t> </w:t>
          </w:r>
          <w:r>
            <w:rPr>
              <w:spacing w:val="2"/>
              <w:w w:val="115"/>
            </w:rPr>
            <w:t>IAAF</w:t>
          </w:r>
          <w:r>
            <w:rPr>
              <w:spacing w:val="-7"/>
              <w:w w:val="115"/>
            </w:rPr>
            <w:t> </w:t>
          </w:r>
          <w:r>
            <w:rPr>
              <w:w w:val="115"/>
            </w:rPr>
            <w:t>Taskforce</w:t>
            <w:tab/>
            <w:t>23</w:t>
          </w:r>
        </w:p>
        <w:p>
          <w:pPr>
            <w:pStyle w:val="TOC3"/>
            <w:numPr>
              <w:ilvl w:val="2"/>
              <w:numId w:val="2"/>
            </w:numPr>
            <w:tabs>
              <w:tab w:pos="1093" w:val="left" w:leader="none"/>
              <w:tab w:pos="8742" w:val="right" w:leader="dot"/>
            </w:tabs>
            <w:spacing w:line="240" w:lineRule="auto" w:before="3" w:after="0"/>
            <w:ind w:left="1092" w:right="0" w:hanging="493"/>
            <w:jc w:val="left"/>
          </w:pPr>
          <w:r>
            <w:rPr>
              <w:w w:val="105"/>
            </w:rPr>
            <w:t>IP Findings</w:t>
          </w:r>
          <w:r>
            <w:rPr>
              <w:rFonts w:ascii="Times New Roman"/>
              <w:w w:val="105"/>
            </w:rPr>
            <w:tab/>
          </w:r>
          <w:r>
            <w:rPr>
              <w:w w:val="105"/>
            </w:rPr>
            <w:t>25</w:t>
          </w:r>
        </w:p>
        <w:p>
          <w:pPr>
            <w:pStyle w:val="TOC2"/>
            <w:numPr>
              <w:ilvl w:val="1"/>
              <w:numId w:val="2"/>
            </w:numPr>
            <w:tabs>
              <w:tab w:pos="688" w:val="left" w:leader="none"/>
              <w:tab w:pos="8741" w:val="right" w:leader="dot"/>
            </w:tabs>
            <w:spacing w:line="240" w:lineRule="auto" w:before="5" w:after="0"/>
            <w:ind w:left="688" w:right="0" w:hanging="329"/>
            <w:jc w:val="left"/>
          </w:pPr>
          <w:r>
            <w:rPr>
              <w:w w:val="115"/>
            </w:rPr>
            <w:t>The</w:t>
          </w:r>
          <w:r>
            <w:rPr>
              <w:spacing w:val="-8"/>
              <w:w w:val="115"/>
            </w:rPr>
            <w:t> </w:t>
          </w:r>
          <w:r>
            <w:rPr>
              <w:w w:val="115"/>
            </w:rPr>
            <w:t>Mandate</w:t>
            <w:tab/>
            <w:t>25</w:t>
          </w:r>
        </w:p>
        <w:p>
          <w:pPr>
            <w:pStyle w:val="TOC1"/>
            <w:tabs>
              <w:tab w:pos="8738" w:val="right" w:leader="dot"/>
            </w:tabs>
          </w:pPr>
          <w:hyperlink w:history="true" w:anchor="_TOC_250004">
            <w:r>
              <w:rPr>
                <w:w w:val="110"/>
              </w:rPr>
              <w:t>Chapter 3: The Moscow Laboratory &amp; the</w:t>
            </w:r>
            <w:r>
              <w:rPr>
                <w:spacing w:val="-12"/>
                <w:w w:val="110"/>
              </w:rPr>
              <w:t> </w:t>
            </w:r>
            <w:r>
              <w:rPr>
                <w:w w:val="110"/>
              </w:rPr>
              <w:t>Disappearing</w:t>
            </w:r>
            <w:r>
              <w:rPr>
                <w:spacing w:val="-2"/>
                <w:w w:val="110"/>
              </w:rPr>
              <w:t> </w:t>
            </w:r>
            <w:r>
              <w:rPr>
                <w:w w:val="110"/>
              </w:rPr>
              <w:t>Positives</w:t>
              <w:tab/>
              <w:t>27</w:t>
            </w:r>
          </w:hyperlink>
        </w:p>
        <w:p>
          <w:pPr>
            <w:pStyle w:val="TOC2"/>
            <w:numPr>
              <w:ilvl w:val="1"/>
              <w:numId w:val="3"/>
            </w:numPr>
            <w:tabs>
              <w:tab w:pos="688" w:val="left" w:leader="none"/>
              <w:tab w:pos="8742" w:val="right" w:leader="dot"/>
            </w:tabs>
            <w:spacing w:line="240" w:lineRule="auto" w:before="19" w:after="0"/>
            <w:ind w:left="688" w:right="0" w:hanging="329"/>
            <w:jc w:val="left"/>
          </w:pPr>
          <w:r>
            <w:rPr>
              <w:w w:val="115"/>
            </w:rPr>
            <w:t>The IC Findings on the</w:t>
          </w:r>
          <w:r>
            <w:rPr>
              <w:spacing w:val="-9"/>
              <w:w w:val="115"/>
            </w:rPr>
            <w:t> </w:t>
          </w:r>
          <w:r>
            <w:rPr>
              <w:w w:val="115"/>
            </w:rPr>
            <w:t>Moscow</w:t>
          </w:r>
          <w:r>
            <w:rPr>
              <w:spacing w:val="-2"/>
              <w:w w:val="115"/>
            </w:rPr>
            <w:t> </w:t>
          </w:r>
          <w:r>
            <w:rPr>
              <w:w w:val="115"/>
            </w:rPr>
            <w:t>Laboratory</w:t>
            <w:tab/>
            <w:t>28</w:t>
          </w:r>
        </w:p>
        <w:p>
          <w:pPr>
            <w:pStyle w:val="TOC3"/>
            <w:tabs>
              <w:tab w:pos="8742" w:val="right" w:leader="dot"/>
            </w:tabs>
            <w:spacing w:line="240" w:lineRule="auto" w:before="4"/>
            <w:ind w:left="599" w:firstLine="0"/>
          </w:pPr>
          <w:r>
            <w:rPr>
              <w:w w:val="105"/>
            </w:rPr>
            <w:t>3.1.1 IP Findings</w:t>
          </w:r>
          <w:r>
            <w:rPr>
              <w:rFonts w:ascii="Times New Roman"/>
              <w:w w:val="105"/>
            </w:rPr>
            <w:tab/>
          </w:r>
          <w:r>
            <w:rPr>
              <w:w w:val="105"/>
            </w:rPr>
            <w:t>30</w:t>
          </w:r>
        </w:p>
        <w:p>
          <w:pPr>
            <w:pStyle w:val="TOC2"/>
            <w:numPr>
              <w:ilvl w:val="1"/>
              <w:numId w:val="3"/>
            </w:numPr>
            <w:tabs>
              <w:tab w:pos="689" w:val="left" w:leader="none"/>
              <w:tab w:pos="8742" w:val="right" w:leader="dot"/>
            </w:tabs>
            <w:spacing w:line="240" w:lineRule="exact" w:before="5" w:after="0"/>
            <w:ind w:left="688" w:right="0" w:hanging="329"/>
            <w:jc w:val="left"/>
          </w:pPr>
          <w:r>
            <w:rPr>
              <w:w w:val="120"/>
            </w:rPr>
            <w:t>The Disappearing</w:t>
          </w:r>
          <w:r>
            <w:rPr>
              <w:spacing w:val="-15"/>
              <w:w w:val="120"/>
            </w:rPr>
            <w:t> </w:t>
          </w:r>
          <w:r>
            <w:rPr>
              <w:w w:val="120"/>
            </w:rPr>
            <w:t>Positive</w:t>
          </w:r>
          <w:r>
            <w:rPr>
              <w:spacing w:val="-7"/>
              <w:w w:val="120"/>
            </w:rPr>
            <w:t> </w:t>
          </w:r>
          <w:r>
            <w:rPr>
              <w:w w:val="120"/>
            </w:rPr>
            <w:t>Methodology</w:t>
            <w:tab/>
            <w:t>31</w:t>
          </w:r>
        </w:p>
        <w:p>
          <w:pPr>
            <w:pStyle w:val="TOC3"/>
            <w:numPr>
              <w:ilvl w:val="2"/>
              <w:numId w:val="3"/>
            </w:numPr>
            <w:tabs>
              <w:tab w:pos="1093" w:val="left" w:leader="none"/>
              <w:tab w:pos="8743" w:val="right" w:leader="dot"/>
            </w:tabs>
            <w:spacing w:line="273" w:lineRule="exact" w:before="0" w:after="0"/>
            <w:ind w:left="1092" w:right="0" w:hanging="493"/>
            <w:jc w:val="left"/>
          </w:pPr>
          <w:r>
            <w:rPr>
              <w:w w:val="105"/>
            </w:rPr>
            <w:t>Investigative Results </w:t>
          </w:r>
          <w:r>
            <w:rPr>
              <w:i/>
              <w:w w:val="105"/>
            </w:rPr>
            <w:t>C</w:t>
          </w:r>
          <w:r>
            <w:rPr>
              <w:w w:val="105"/>
            </w:rPr>
            <w:t>oncerning the Disappearing</w:t>
          </w:r>
          <w:r>
            <w:rPr>
              <w:spacing w:val="-20"/>
              <w:w w:val="105"/>
            </w:rPr>
            <w:t> </w:t>
          </w:r>
          <w:r>
            <w:rPr>
              <w:w w:val="105"/>
            </w:rPr>
            <w:t>Positive</w:t>
          </w:r>
          <w:r>
            <w:rPr>
              <w:spacing w:val="-2"/>
              <w:w w:val="105"/>
            </w:rPr>
            <w:t> </w:t>
          </w:r>
          <w:r>
            <w:rPr>
              <w:w w:val="105"/>
            </w:rPr>
            <w:t>Methodology</w:t>
          </w:r>
          <w:r>
            <w:rPr>
              <w:rFonts w:ascii="Times New Roman"/>
              <w:w w:val="105"/>
            </w:rPr>
            <w:tab/>
          </w:r>
          <w:r>
            <w:rPr>
              <w:w w:val="105"/>
            </w:rPr>
            <w:t>35</w:t>
          </w:r>
        </w:p>
        <w:p>
          <w:pPr>
            <w:pStyle w:val="TOC3"/>
            <w:numPr>
              <w:ilvl w:val="2"/>
              <w:numId w:val="3"/>
            </w:numPr>
            <w:tabs>
              <w:tab w:pos="1094" w:val="left" w:leader="none"/>
              <w:tab w:pos="8742" w:val="right" w:leader="dot"/>
            </w:tabs>
            <w:spacing w:line="274" w:lineRule="exact" w:before="0" w:after="0"/>
            <w:ind w:left="1093" w:right="0" w:hanging="494"/>
            <w:jc w:val="left"/>
          </w:pPr>
          <w:r>
            <w:rPr>
              <w:w w:val="105"/>
            </w:rPr>
            <w:t>IP</w:t>
          </w:r>
          <w:r>
            <w:rPr>
              <w:spacing w:val="1"/>
              <w:w w:val="105"/>
            </w:rPr>
            <w:t> </w:t>
          </w:r>
          <w:r>
            <w:rPr>
              <w:w w:val="105"/>
            </w:rPr>
            <w:t>Findings</w:t>
          </w:r>
          <w:r>
            <w:rPr>
              <w:rFonts w:ascii="Times New Roman"/>
              <w:w w:val="105"/>
            </w:rPr>
            <w:tab/>
          </w:r>
          <w:r>
            <w:rPr>
              <w:w w:val="105"/>
            </w:rPr>
            <w:t>41</w:t>
          </w:r>
        </w:p>
        <w:p>
          <w:pPr>
            <w:pStyle w:val="TOC2"/>
            <w:numPr>
              <w:ilvl w:val="1"/>
              <w:numId w:val="3"/>
            </w:numPr>
            <w:tabs>
              <w:tab w:pos="688" w:val="left" w:leader="none"/>
              <w:tab w:pos="8742" w:val="right" w:leader="dot"/>
            </w:tabs>
            <w:spacing w:line="240" w:lineRule="auto" w:before="10" w:after="0"/>
            <w:ind w:left="688" w:right="0" w:hanging="329"/>
            <w:jc w:val="left"/>
          </w:pPr>
          <w:r>
            <w:rPr>
              <w:w w:val="115"/>
            </w:rPr>
            <w:t>Events of </w:t>
          </w:r>
          <w:r>
            <w:rPr>
              <w:spacing w:val="2"/>
              <w:w w:val="115"/>
            </w:rPr>
            <w:t>Autumn </w:t>
          </w:r>
          <w:r>
            <w:rPr>
              <w:w w:val="115"/>
            </w:rPr>
            <w:t>2014 and the</w:t>
          </w:r>
          <w:r>
            <w:rPr>
              <w:spacing w:val="-22"/>
              <w:w w:val="115"/>
            </w:rPr>
            <w:t> </w:t>
          </w:r>
          <w:r>
            <w:rPr>
              <w:w w:val="115"/>
            </w:rPr>
            <w:t>37</w:t>
          </w:r>
          <w:r>
            <w:rPr>
              <w:spacing w:val="-2"/>
              <w:w w:val="115"/>
            </w:rPr>
            <w:t> </w:t>
          </w:r>
          <w:r>
            <w:rPr>
              <w:w w:val="115"/>
            </w:rPr>
            <w:t>Samples</w:t>
            <w:tab/>
            <w:t>42</w:t>
          </w:r>
        </w:p>
        <w:p>
          <w:pPr>
            <w:pStyle w:val="TOC2"/>
            <w:numPr>
              <w:ilvl w:val="1"/>
              <w:numId w:val="3"/>
            </w:numPr>
            <w:tabs>
              <w:tab w:pos="688" w:val="left" w:leader="none"/>
              <w:tab w:pos="8742" w:val="right" w:leader="dot"/>
            </w:tabs>
            <w:spacing w:line="241" w:lineRule="exact" w:before="22" w:after="0"/>
            <w:ind w:left="688" w:right="0" w:hanging="329"/>
            <w:jc w:val="left"/>
          </w:pPr>
          <w:r>
            <w:rPr>
              <w:w w:val="115"/>
            </w:rPr>
            <w:t>Forensic Testing of the</w:t>
          </w:r>
          <w:r>
            <w:rPr>
              <w:spacing w:val="-12"/>
              <w:w w:val="115"/>
            </w:rPr>
            <w:t> </w:t>
          </w:r>
          <w:r>
            <w:rPr>
              <w:w w:val="115"/>
            </w:rPr>
            <w:t>37</w:t>
          </w:r>
          <w:r>
            <w:rPr>
              <w:spacing w:val="-2"/>
              <w:w w:val="115"/>
            </w:rPr>
            <w:t> </w:t>
          </w:r>
          <w:r>
            <w:rPr>
              <w:w w:val="115"/>
            </w:rPr>
            <w:t>Samples</w:t>
            <w:tab/>
            <w:t>45</w:t>
          </w:r>
        </w:p>
        <w:p>
          <w:pPr>
            <w:pStyle w:val="TOC3"/>
            <w:tabs>
              <w:tab w:pos="8742" w:val="right" w:leader="dot"/>
            </w:tabs>
            <w:spacing w:line="282" w:lineRule="exact"/>
            <w:ind w:left="599" w:firstLine="0"/>
          </w:pPr>
          <w:r>
            <w:rPr>
              <w:w w:val="105"/>
            </w:rPr>
            <w:t>3.4.1 IP Findings</w:t>
          </w:r>
          <w:r>
            <w:rPr>
              <w:rFonts w:ascii="Times New Roman"/>
              <w:w w:val="105"/>
            </w:rPr>
            <w:tab/>
          </w:r>
          <w:r>
            <w:rPr>
              <w:w w:val="105"/>
            </w:rPr>
            <w:t>49</w:t>
          </w:r>
        </w:p>
        <w:p>
          <w:pPr>
            <w:pStyle w:val="TOC2"/>
            <w:numPr>
              <w:ilvl w:val="1"/>
              <w:numId w:val="3"/>
            </w:numPr>
            <w:tabs>
              <w:tab w:pos="688" w:val="left" w:leader="none"/>
              <w:tab w:pos="8741" w:val="right" w:leader="dot"/>
            </w:tabs>
            <w:spacing w:line="240" w:lineRule="auto" w:before="5" w:after="0"/>
            <w:ind w:left="688" w:right="0" w:hanging="329"/>
            <w:jc w:val="left"/>
          </w:pPr>
          <w:r>
            <w:rPr>
              <w:w w:val="115"/>
            </w:rPr>
            <w:t>The</w:t>
          </w:r>
          <w:r>
            <w:rPr>
              <w:spacing w:val="-8"/>
              <w:w w:val="115"/>
            </w:rPr>
            <w:t> </w:t>
          </w:r>
          <w:r>
            <w:rPr>
              <w:w w:val="115"/>
            </w:rPr>
            <w:t>"Cocktail"</w:t>
            <w:tab/>
            <w:t>49</w:t>
          </w:r>
        </w:p>
        <w:p>
          <w:pPr>
            <w:pStyle w:val="TOC1"/>
            <w:tabs>
              <w:tab w:pos="8736" w:val="right" w:leader="dot"/>
            </w:tabs>
            <w:spacing w:before="138"/>
          </w:pPr>
          <w:hyperlink w:history="true" w:anchor="_TOC_250003">
            <w:r>
              <w:rPr>
                <w:w w:val="110"/>
              </w:rPr>
              <w:t>Chapter 4: The</w:t>
            </w:r>
            <w:r>
              <w:rPr>
                <w:spacing w:val="-18"/>
                <w:w w:val="110"/>
              </w:rPr>
              <w:t> </w:t>
            </w:r>
            <w:r>
              <w:rPr>
                <w:w w:val="110"/>
              </w:rPr>
              <w:t>Command</w:t>
            </w:r>
            <w:r>
              <w:rPr>
                <w:spacing w:val="-6"/>
                <w:w w:val="110"/>
              </w:rPr>
              <w:t> </w:t>
            </w:r>
            <w:r>
              <w:rPr>
                <w:w w:val="110"/>
              </w:rPr>
              <w:t>Structure</w:t>
              <w:tab/>
              <w:t>52</w:t>
            </w:r>
          </w:hyperlink>
        </w:p>
        <w:p>
          <w:pPr>
            <w:pStyle w:val="TOC2"/>
            <w:numPr>
              <w:ilvl w:val="1"/>
              <w:numId w:val="4"/>
            </w:numPr>
            <w:tabs>
              <w:tab w:pos="688" w:val="left" w:leader="none"/>
              <w:tab w:pos="8742" w:val="right" w:leader="dot"/>
            </w:tabs>
            <w:spacing w:line="240" w:lineRule="auto" w:before="21" w:after="0"/>
            <w:ind w:left="688" w:right="0" w:hanging="329"/>
            <w:jc w:val="left"/>
          </w:pPr>
          <w:r>
            <w:rPr>
              <w:w w:val="120"/>
            </w:rPr>
            <w:t>The</w:t>
          </w:r>
          <w:r>
            <w:rPr>
              <w:spacing w:val="-11"/>
              <w:w w:val="120"/>
            </w:rPr>
            <w:t> </w:t>
          </w:r>
          <w:r>
            <w:rPr>
              <w:w w:val="120"/>
            </w:rPr>
            <w:t>Ministry</w:t>
          </w:r>
          <w:r>
            <w:rPr>
              <w:spacing w:val="-7"/>
              <w:w w:val="120"/>
            </w:rPr>
            <w:t> </w:t>
          </w:r>
          <w:r>
            <w:rPr>
              <w:w w:val="120"/>
            </w:rPr>
            <w:t>of</w:t>
          </w:r>
          <w:r>
            <w:rPr>
              <w:spacing w:val="-11"/>
              <w:w w:val="120"/>
            </w:rPr>
            <w:t> </w:t>
          </w:r>
          <w:r>
            <w:rPr>
              <w:w w:val="120"/>
            </w:rPr>
            <w:t>Sport</w:t>
          </w:r>
          <w:r>
            <w:rPr>
              <w:spacing w:val="-10"/>
              <w:w w:val="120"/>
            </w:rPr>
            <w:t> </w:t>
          </w:r>
          <w:r>
            <w:rPr>
              <w:w w:val="120"/>
            </w:rPr>
            <w:t>of</w:t>
          </w:r>
          <w:r>
            <w:rPr>
              <w:spacing w:val="-9"/>
              <w:w w:val="120"/>
            </w:rPr>
            <w:t> </w:t>
          </w:r>
          <w:r>
            <w:rPr>
              <w:w w:val="120"/>
            </w:rPr>
            <w:t>the</w:t>
          </w:r>
          <w:r>
            <w:rPr>
              <w:spacing w:val="-6"/>
              <w:w w:val="120"/>
            </w:rPr>
            <w:t> </w:t>
          </w:r>
          <w:r>
            <w:rPr>
              <w:w w:val="120"/>
            </w:rPr>
            <w:t>Russian</w:t>
          </w:r>
          <w:r>
            <w:rPr>
              <w:spacing w:val="-7"/>
              <w:w w:val="120"/>
            </w:rPr>
            <w:t> </w:t>
          </w:r>
          <w:r>
            <w:rPr>
              <w:w w:val="120"/>
            </w:rPr>
            <w:t>Federation</w:t>
            <w:tab/>
            <w:t>52</w:t>
          </w:r>
        </w:p>
        <w:p>
          <w:pPr>
            <w:pStyle w:val="TOC2"/>
            <w:numPr>
              <w:ilvl w:val="1"/>
              <w:numId w:val="4"/>
            </w:numPr>
            <w:tabs>
              <w:tab w:pos="689" w:val="left" w:leader="none"/>
              <w:tab w:pos="8742" w:val="right" w:leader="dot"/>
            </w:tabs>
            <w:spacing w:line="240" w:lineRule="auto" w:before="22" w:after="0"/>
            <w:ind w:left="688" w:right="0" w:hanging="329"/>
            <w:jc w:val="left"/>
          </w:pPr>
          <w:r>
            <w:rPr>
              <w:w w:val="115"/>
            </w:rPr>
            <w:t>The Federal Security Service of the Russian</w:t>
          </w:r>
          <w:r>
            <w:rPr>
              <w:spacing w:val="-20"/>
              <w:w w:val="115"/>
            </w:rPr>
            <w:t> </w:t>
          </w:r>
          <w:r>
            <w:rPr>
              <w:w w:val="115"/>
            </w:rPr>
            <w:t>Federation</w:t>
          </w:r>
          <w:r>
            <w:rPr>
              <w:spacing w:val="1"/>
              <w:w w:val="115"/>
            </w:rPr>
            <w:t> </w:t>
          </w:r>
          <w:r>
            <w:rPr>
              <w:w w:val="115"/>
            </w:rPr>
            <w:t>(FSB)</w:t>
            <w:tab/>
            <w:t>56</w:t>
          </w:r>
        </w:p>
        <w:p>
          <w:pPr>
            <w:pStyle w:val="TOC1"/>
            <w:tabs>
              <w:tab w:pos="8735" w:val="right" w:leader="dot"/>
            </w:tabs>
          </w:pPr>
          <w:hyperlink w:history="true" w:anchor="_TOC_250002">
            <w:r>
              <w:rPr>
                <w:w w:val="115"/>
              </w:rPr>
              <w:t>Chapter</w:t>
            </w:r>
            <w:r>
              <w:rPr>
                <w:spacing w:val="-15"/>
                <w:w w:val="115"/>
              </w:rPr>
              <w:t> </w:t>
            </w:r>
            <w:r>
              <w:rPr>
                <w:w w:val="115"/>
              </w:rPr>
              <w:t>5:</w:t>
            </w:r>
            <w:r>
              <w:rPr>
                <w:spacing w:val="-15"/>
                <w:w w:val="115"/>
              </w:rPr>
              <w:t> </w:t>
            </w:r>
            <w:r>
              <w:rPr>
                <w:w w:val="115"/>
              </w:rPr>
              <w:t>The</w:t>
            </w:r>
            <w:r>
              <w:rPr>
                <w:spacing w:val="-15"/>
                <w:w w:val="115"/>
              </w:rPr>
              <w:t> </w:t>
            </w:r>
            <w:r>
              <w:rPr>
                <w:w w:val="115"/>
              </w:rPr>
              <w:t>Sochi</w:t>
            </w:r>
            <w:r>
              <w:rPr>
                <w:spacing w:val="-17"/>
                <w:w w:val="115"/>
              </w:rPr>
              <w:t> </w:t>
            </w:r>
            <w:r>
              <w:rPr>
                <w:w w:val="115"/>
              </w:rPr>
              <w:t>Laboratory</w:t>
            </w:r>
            <w:r>
              <w:rPr>
                <w:spacing w:val="-15"/>
                <w:w w:val="115"/>
              </w:rPr>
              <w:t> </w:t>
            </w:r>
            <w:r>
              <w:rPr>
                <w:w w:val="115"/>
              </w:rPr>
              <w:t>Sample</w:t>
            </w:r>
            <w:r>
              <w:rPr>
                <w:spacing w:val="-17"/>
                <w:w w:val="115"/>
              </w:rPr>
              <w:t> </w:t>
            </w:r>
            <w:r>
              <w:rPr>
                <w:w w:val="115"/>
              </w:rPr>
              <w:t>Swapping</w:t>
            </w:r>
            <w:r>
              <w:rPr>
                <w:spacing w:val="-13"/>
                <w:w w:val="115"/>
              </w:rPr>
              <w:t> </w:t>
            </w:r>
            <w:r>
              <w:rPr>
                <w:w w:val="115"/>
              </w:rPr>
              <w:t>Methodology</w:t>
              <w:tab/>
              <w:t>61</w:t>
            </w:r>
          </w:hyperlink>
        </w:p>
        <w:p>
          <w:pPr>
            <w:pStyle w:val="TOC2"/>
            <w:numPr>
              <w:ilvl w:val="1"/>
              <w:numId w:val="5"/>
            </w:numPr>
            <w:tabs>
              <w:tab w:pos="688" w:val="left" w:leader="none"/>
              <w:tab w:pos="8741" w:val="right" w:leader="dot"/>
            </w:tabs>
            <w:spacing w:line="240" w:lineRule="auto" w:before="25" w:after="0"/>
            <w:ind w:left="688" w:right="0" w:hanging="329"/>
            <w:jc w:val="left"/>
          </w:pPr>
          <w:r>
            <w:rPr>
              <w:w w:val="115"/>
            </w:rPr>
            <w:t>Introduction</w:t>
            <w:tab/>
            <w:t>61</w:t>
          </w:r>
        </w:p>
        <w:p>
          <w:pPr>
            <w:pStyle w:val="TOC2"/>
            <w:numPr>
              <w:ilvl w:val="1"/>
              <w:numId w:val="5"/>
            </w:numPr>
            <w:tabs>
              <w:tab w:pos="688" w:val="left" w:leader="none"/>
              <w:tab w:pos="8743" w:val="right" w:leader="dot"/>
            </w:tabs>
            <w:spacing w:line="241" w:lineRule="exact" w:before="22" w:after="0"/>
            <w:ind w:left="688" w:right="0" w:hanging="329"/>
            <w:jc w:val="left"/>
          </w:pPr>
          <w:r>
            <w:rPr>
              <w:w w:val="115"/>
            </w:rPr>
            <w:t>Planning</w:t>
          </w:r>
          <w:r>
            <w:rPr>
              <w:spacing w:val="-5"/>
              <w:w w:val="115"/>
            </w:rPr>
            <w:t> </w:t>
          </w:r>
          <w:r>
            <w:rPr>
              <w:w w:val="115"/>
            </w:rPr>
            <w:t>for</w:t>
          </w:r>
          <w:r>
            <w:rPr>
              <w:spacing w:val="-5"/>
              <w:w w:val="115"/>
            </w:rPr>
            <w:t> </w:t>
          </w:r>
          <w:r>
            <w:rPr>
              <w:w w:val="115"/>
            </w:rPr>
            <w:t>Sochi</w:t>
            <w:tab/>
            <w:t>62</w:t>
          </w:r>
        </w:p>
        <w:p>
          <w:pPr>
            <w:pStyle w:val="TOC3"/>
            <w:numPr>
              <w:ilvl w:val="2"/>
              <w:numId w:val="5"/>
            </w:numPr>
            <w:tabs>
              <w:tab w:pos="1093" w:val="left" w:leader="none"/>
              <w:tab w:pos="8742" w:val="right" w:leader="dot"/>
            </w:tabs>
            <w:spacing w:line="275" w:lineRule="exact" w:before="0" w:after="0"/>
            <w:ind w:left="1092" w:right="0" w:hanging="493"/>
            <w:jc w:val="left"/>
          </w:pPr>
          <w:r>
            <w:rPr>
              <w:w w:val="105"/>
            </w:rPr>
            <w:t>IP Findings</w:t>
          </w:r>
          <w:r>
            <w:rPr>
              <w:rFonts w:ascii="Times New Roman"/>
              <w:w w:val="105"/>
            </w:rPr>
            <w:tab/>
          </w:r>
          <w:r>
            <w:rPr>
              <w:w w:val="105"/>
            </w:rPr>
            <w:t>65</w:t>
          </w:r>
        </w:p>
        <w:p>
          <w:pPr>
            <w:pStyle w:val="TOC3"/>
            <w:numPr>
              <w:ilvl w:val="2"/>
              <w:numId w:val="5"/>
            </w:numPr>
            <w:tabs>
              <w:tab w:pos="1093" w:val="left" w:leader="none"/>
              <w:tab w:pos="8739" w:val="right" w:leader="dot"/>
            </w:tabs>
            <w:spacing w:line="266" w:lineRule="exact" w:before="0" w:after="0"/>
            <w:ind w:left="1092" w:right="0" w:hanging="493"/>
            <w:jc w:val="left"/>
          </w:pPr>
          <w:r>
            <w:rPr>
              <w:w w:val="105"/>
            </w:rPr>
            <w:t>The State Programme</w:t>
          </w:r>
          <w:r>
            <w:rPr>
              <w:rFonts w:ascii="Times New Roman"/>
              <w:w w:val="105"/>
            </w:rPr>
            <w:tab/>
          </w:r>
          <w:r>
            <w:rPr>
              <w:w w:val="105"/>
            </w:rPr>
            <w:t>65</w:t>
          </w:r>
        </w:p>
        <w:p>
          <w:pPr>
            <w:pStyle w:val="TOC3"/>
            <w:numPr>
              <w:ilvl w:val="2"/>
              <w:numId w:val="5"/>
            </w:numPr>
            <w:tabs>
              <w:tab w:pos="1093" w:val="left" w:leader="none"/>
              <w:tab w:pos="8741" w:val="right" w:leader="dot"/>
            </w:tabs>
            <w:spacing w:line="274" w:lineRule="exact" w:before="0" w:after="0"/>
            <w:ind w:left="1092" w:right="0" w:hanging="493"/>
            <w:jc w:val="left"/>
          </w:pPr>
          <w:r>
            <w:rPr>
              <w:w w:val="105"/>
            </w:rPr>
            <w:t>IP Finding</w:t>
          </w:r>
          <w:r>
            <w:rPr>
              <w:i/>
              <w:w w:val="105"/>
            </w:rPr>
            <w:t>s</w:t>
          </w:r>
          <w:r>
            <w:rPr>
              <w:rFonts w:ascii="Times New Roman"/>
              <w:w w:val="105"/>
            </w:rPr>
            <w:tab/>
          </w:r>
          <w:r>
            <w:rPr>
              <w:w w:val="105"/>
            </w:rPr>
            <w:t>67</w:t>
          </w:r>
        </w:p>
        <w:p>
          <w:pPr>
            <w:pStyle w:val="TOC2"/>
            <w:numPr>
              <w:ilvl w:val="1"/>
              <w:numId w:val="5"/>
            </w:numPr>
            <w:tabs>
              <w:tab w:pos="688" w:val="left" w:leader="none"/>
              <w:tab w:pos="8742" w:val="right" w:leader="dot"/>
            </w:tabs>
            <w:spacing w:line="241" w:lineRule="exact" w:before="5" w:after="0"/>
            <w:ind w:left="688" w:right="0" w:hanging="329"/>
            <w:jc w:val="left"/>
          </w:pPr>
          <w:r>
            <w:rPr>
              <w:w w:val="115"/>
            </w:rPr>
            <w:t>The Mechanics of</w:t>
          </w:r>
          <w:r>
            <w:rPr>
              <w:spacing w:val="-10"/>
              <w:w w:val="115"/>
            </w:rPr>
            <w:t> </w:t>
          </w:r>
          <w:r>
            <w:rPr>
              <w:spacing w:val="2"/>
              <w:w w:val="115"/>
            </w:rPr>
            <w:t>Sample</w:t>
          </w:r>
          <w:r>
            <w:rPr>
              <w:spacing w:val="-6"/>
              <w:w w:val="115"/>
            </w:rPr>
            <w:t> </w:t>
          </w:r>
          <w:r>
            <w:rPr>
              <w:w w:val="115"/>
            </w:rPr>
            <w:t>Swapping</w:t>
            <w:tab/>
            <w:t>67</w:t>
          </w:r>
        </w:p>
        <w:p>
          <w:pPr>
            <w:pStyle w:val="TOC3"/>
            <w:numPr>
              <w:ilvl w:val="2"/>
              <w:numId w:val="5"/>
            </w:numPr>
            <w:tabs>
              <w:tab w:pos="1092" w:val="left" w:leader="none"/>
              <w:tab w:pos="8744" w:val="right" w:leader="dot"/>
            </w:tabs>
            <w:spacing w:line="275" w:lineRule="exact" w:before="0" w:after="0"/>
            <w:ind w:left="1091" w:right="0" w:hanging="492"/>
            <w:jc w:val="left"/>
          </w:pPr>
          <w:r>
            <w:rPr>
              <w:w w:val="105"/>
            </w:rPr>
            <w:t>Identification of the</w:t>
          </w:r>
          <w:r>
            <w:rPr>
              <w:spacing w:val="7"/>
              <w:w w:val="105"/>
            </w:rPr>
            <w:t> </w:t>
          </w:r>
          <w:r>
            <w:rPr>
              <w:i/>
              <w:w w:val="105"/>
            </w:rPr>
            <w:t>I</w:t>
          </w:r>
          <w:r>
            <w:rPr>
              <w:w w:val="105"/>
            </w:rPr>
            <w:t>ncoming</w:t>
          </w:r>
          <w:r>
            <w:rPr>
              <w:spacing w:val="2"/>
              <w:w w:val="105"/>
            </w:rPr>
            <w:t> </w:t>
          </w:r>
          <w:r>
            <w:rPr>
              <w:i/>
              <w:w w:val="105"/>
            </w:rPr>
            <w:t>S</w:t>
          </w:r>
          <w:r>
            <w:rPr>
              <w:w w:val="105"/>
            </w:rPr>
            <w:t>ample</w:t>
          </w:r>
          <w:r>
            <w:rPr>
              <w:rFonts w:ascii="Times New Roman"/>
              <w:w w:val="105"/>
            </w:rPr>
            <w:tab/>
          </w:r>
          <w:r>
            <w:rPr>
              <w:w w:val="105"/>
            </w:rPr>
            <w:t>68</w:t>
          </w:r>
        </w:p>
        <w:p>
          <w:pPr>
            <w:pStyle w:val="TOC3"/>
            <w:numPr>
              <w:ilvl w:val="2"/>
              <w:numId w:val="5"/>
            </w:numPr>
            <w:tabs>
              <w:tab w:pos="1150" w:val="left" w:leader="none"/>
              <w:tab w:pos="8747" w:val="right" w:leader="dot"/>
            </w:tabs>
            <w:spacing w:line="276" w:lineRule="exact" w:before="0" w:after="0"/>
            <w:ind w:left="1149" w:right="0" w:hanging="550"/>
            <w:jc w:val="left"/>
          </w:pPr>
          <w:r>
            <w:rPr>
              <w:w w:val="105"/>
            </w:rPr>
            <w:t>Movement of </w:t>
          </w:r>
          <w:r>
            <w:rPr>
              <w:i/>
              <w:w w:val="105"/>
            </w:rPr>
            <w:t>S</w:t>
          </w:r>
          <w:r>
            <w:rPr>
              <w:w w:val="105"/>
            </w:rPr>
            <w:t>ample within the Lab</w:t>
          </w:r>
          <w:r>
            <w:rPr>
              <w:i/>
              <w:w w:val="105"/>
            </w:rPr>
            <w:t>oratory </w:t>
          </w:r>
          <w:r>
            <w:rPr>
              <w:w w:val="105"/>
            </w:rPr>
            <w:t>to the</w:t>
          </w:r>
          <w:r>
            <w:rPr>
              <w:spacing w:val="-12"/>
              <w:w w:val="105"/>
            </w:rPr>
            <w:t> </w:t>
          </w:r>
          <w:r>
            <w:rPr>
              <w:i/>
              <w:w w:val="105"/>
            </w:rPr>
            <w:t>A</w:t>
          </w:r>
          <w:r>
            <w:rPr>
              <w:w w:val="105"/>
            </w:rPr>
            <w:t>liquoting </w:t>
          </w:r>
          <w:r>
            <w:rPr>
              <w:i/>
              <w:w w:val="105"/>
            </w:rPr>
            <w:t>R</w:t>
          </w:r>
          <w:r>
            <w:rPr>
              <w:w w:val="105"/>
            </w:rPr>
            <w:t>oom</w:t>
          </w:r>
          <w:r>
            <w:rPr>
              <w:rFonts w:ascii="Times New Roman"/>
              <w:w w:val="105"/>
            </w:rPr>
            <w:tab/>
          </w:r>
          <w:r>
            <w:rPr>
              <w:w w:val="105"/>
            </w:rPr>
            <w:t>69</w:t>
          </w:r>
        </w:p>
        <w:p>
          <w:pPr>
            <w:pStyle w:val="TOC3"/>
            <w:numPr>
              <w:ilvl w:val="2"/>
              <w:numId w:val="5"/>
            </w:numPr>
            <w:tabs>
              <w:tab w:pos="1094" w:val="left" w:leader="none"/>
              <w:tab w:pos="8742" w:val="right" w:leader="dot"/>
            </w:tabs>
            <w:spacing w:line="274" w:lineRule="exact" w:before="0" w:after="0"/>
            <w:ind w:left="1093" w:right="0" w:hanging="494"/>
            <w:jc w:val="left"/>
          </w:pPr>
          <w:r>
            <w:rPr>
              <w:w w:val="105"/>
            </w:rPr>
            <w:t>Bottle Passing</w:t>
          </w:r>
          <w:r>
            <w:rPr>
              <w:spacing w:val="2"/>
              <w:w w:val="105"/>
            </w:rPr>
            <w:t> </w:t>
          </w:r>
          <w:r>
            <w:rPr>
              <w:w w:val="105"/>
            </w:rPr>
            <w:t>&amp;</w:t>
          </w:r>
          <w:r>
            <w:rPr>
              <w:spacing w:val="5"/>
              <w:w w:val="105"/>
            </w:rPr>
            <w:t> </w:t>
          </w:r>
          <w:r>
            <w:rPr>
              <w:i/>
              <w:w w:val="105"/>
            </w:rPr>
            <w:t>O</w:t>
          </w:r>
          <w:r>
            <w:rPr>
              <w:w w:val="105"/>
            </w:rPr>
            <w:t>pening</w:t>
          </w:r>
          <w:r>
            <w:rPr>
              <w:rFonts w:ascii="Times New Roman"/>
              <w:w w:val="105"/>
            </w:rPr>
            <w:tab/>
          </w:r>
          <w:r>
            <w:rPr>
              <w:w w:val="105"/>
            </w:rPr>
            <w:t>69</w:t>
          </w:r>
        </w:p>
        <w:p>
          <w:pPr>
            <w:pStyle w:val="TOC3"/>
            <w:numPr>
              <w:ilvl w:val="2"/>
              <w:numId w:val="5"/>
            </w:numPr>
            <w:tabs>
              <w:tab w:pos="1094" w:val="left" w:leader="none"/>
              <w:tab w:pos="8742" w:val="right" w:leader="dot"/>
            </w:tabs>
            <w:spacing w:line="266" w:lineRule="exact" w:before="0" w:after="0"/>
            <w:ind w:left="1093" w:right="0" w:hanging="494"/>
            <w:jc w:val="left"/>
          </w:pPr>
          <w:r>
            <w:rPr>
              <w:w w:val="105"/>
            </w:rPr>
            <w:t>Doctoring the Replacement Urine in the</w:t>
          </w:r>
          <w:r>
            <w:rPr>
              <w:spacing w:val="-3"/>
              <w:w w:val="105"/>
            </w:rPr>
            <w:t> </w:t>
          </w:r>
          <w:r>
            <w:rPr>
              <w:w w:val="105"/>
            </w:rPr>
            <w:t>Operational</w:t>
          </w:r>
          <w:r>
            <w:rPr>
              <w:spacing w:val="-2"/>
              <w:w w:val="105"/>
            </w:rPr>
            <w:t> </w:t>
          </w:r>
          <w:r>
            <w:rPr>
              <w:w w:val="105"/>
            </w:rPr>
            <w:t>Room</w:t>
          </w:r>
          <w:r>
            <w:rPr>
              <w:rFonts w:ascii="Times New Roman"/>
              <w:w w:val="105"/>
            </w:rPr>
            <w:tab/>
          </w:r>
          <w:r>
            <w:rPr>
              <w:w w:val="105"/>
            </w:rPr>
            <w:t>71</w:t>
          </w:r>
        </w:p>
        <w:p>
          <w:pPr>
            <w:pStyle w:val="TOC3"/>
            <w:numPr>
              <w:ilvl w:val="2"/>
              <w:numId w:val="5"/>
            </w:numPr>
            <w:tabs>
              <w:tab w:pos="1093" w:val="left" w:leader="none"/>
              <w:tab w:pos="8744" w:val="right" w:leader="dot"/>
            </w:tabs>
            <w:spacing w:line="276" w:lineRule="exact" w:before="0" w:after="0"/>
            <w:ind w:left="1092" w:right="0" w:hanging="493"/>
            <w:jc w:val="left"/>
          </w:pPr>
          <w:r>
            <w:rPr>
              <w:w w:val="105"/>
            </w:rPr>
            <w:t>Swapped </w:t>
          </w:r>
          <w:r>
            <w:rPr>
              <w:i/>
              <w:w w:val="105"/>
            </w:rPr>
            <w:t>S</w:t>
          </w:r>
          <w:r>
            <w:rPr>
              <w:w w:val="105"/>
            </w:rPr>
            <w:t>ample </w:t>
          </w:r>
          <w:r>
            <w:rPr>
              <w:i/>
              <w:w w:val="105"/>
            </w:rPr>
            <w:t>R</w:t>
          </w:r>
          <w:r>
            <w:rPr>
              <w:w w:val="105"/>
            </w:rPr>
            <w:t>eturn to the</w:t>
          </w:r>
          <w:r>
            <w:rPr>
              <w:spacing w:val="7"/>
              <w:w w:val="105"/>
            </w:rPr>
            <w:t> </w:t>
          </w:r>
          <w:r>
            <w:rPr>
              <w:i/>
              <w:w w:val="105"/>
            </w:rPr>
            <w:t>A</w:t>
          </w:r>
          <w:r>
            <w:rPr>
              <w:w w:val="105"/>
            </w:rPr>
            <w:t>liquoting</w:t>
          </w:r>
          <w:r>
            <w:rPr>
              <w:spacing w:val="2"/>
              <w:w w:val="105"/>
            </w:rPr>
            <w:t> </w:t>
          </w:r>
          <w:r>
            <w:rPr>
              <w:i/>
              <w:w w:val="105"/>
            </w:rPr>
            <w:t>R</w:t>
          </w:r>
          <w:r>
            <w:rPr>
              <w:w w:val="105"/>
            </w:rPr>
            <w:t>oom</w:t>
          </w:r>
          <w:r>
            <w:rPr>
              <w:rFonts w:ascii="Times New Roman"/>
              <w:w w:val="105"/>
            </w:rPr>
            <w:tab/>
          </w:r>
          <w:r>
            <w:rPr>
              <w:w w:val="105"/>
            </w:rPr>
            <w:t>71</w:t>
          </w:r>
        </w:p>
        <w:p>
          <w:pPr>
            <w:pStyle w:val="TOC2"/>
            <w:numPr>
              <w:ilvl w:val="1"/>
              <w:numId w:val="5"/>
            </w:numPr>
            <w:tabs>
              <w:tab w:pos="689" w:val="left" w:leader="none"/>
              <w:tab w:pos="8742" w:val="right" w:leader="dot"/>
            </w:tabs>
            <w:spacing w:line="241" w:lineRule="exact" w:before="5" w:after="0"/>
            <w:ind w:left="688" w:right="0" w:hanging="329"/>
            <w:jc w:val="left"/>
          </w:pPr>
          <w:r>
            <w:rPr>
              <w:w w:val="120"/>
            </w:rPr>
            <w:t>Results of the</w:t>
          </w:r>
          <w:r>
            <w:rPr>
              <w:spacing w:val="-23"/>
              <w:w w:val="120"/>
            </w:rPr>
            <w:t> </w:t>
          </w:r>
          <w:r>
            <w:rPr>
              <w:w w:val="120"/>
            </w:rPr>
            <w:t>Sochi</w:t>
          </w:r>
          <w:r>
            <w:rPr>
              <w:spacing w:val="-5"/>
              <w:w w:val="120"/>
            </w:rPr>
            <w:t> </w:t>
          </w:r>
          <w:r>
            <w:rPr>
              <w:w w:val="120"/>
            </w:rPr>
            <w:t>Investigation</w:t>
            <w:tab/>
            <w:t>72</w:t>
          </w:r>
        </w:p>
        <w:p>
          <w:pPr>
            <w:pStyle w:val="TOC3"/>
            <w:numPr>
              <w:ilvl w:val="2"/>
              <w:numId w:val="5"/>
            </w:numPr>
            <w:tabs>
              <w:tab w:pos="1093" w:val="left" w:leader="none"/>
              <w:tab w:pos="8741" w:val="right" w:leader="dot"/>
            </w:tabs>
            <w:spacing w:line="273" w:lineRule="exact" w:before="0" w:after="0"/>
            <w:ind w:left="1092" w:right="0" w:hanging="493"/>
            <w:jc w:val="left"/>
          </w:pPr>
          <w:r>
            <w:rPr>
              <w:w w:val="105"/>
            </w:rPr>
            <w:t>Bottle Tampering Analysis</w:t>
          </w:r>
          <w:r>
            <w:rPr>
              <w:rFonts w:ascii="Times New Roman"/>
              <w:w w:val="105"/>
            </w:rPr>
            <w:tab/>
          </w:r>
          <w:r>
            <w:rPr>
              <w:w w:val="105"/>
            </w:rPr>
            <w:t>72</w:t>
          </w:r>
        </w:p>
        <w:p>
          <w:pPr>
            <w:pStyle w:val="TOC3"/>
            <w:tabs>
              <w:tab w:pos="8741" w:val="right" w:leader="dot"/>
            </w:tabs>
            <w:ind w:left="599" w:firstLine="0"/>
          </w:pPr>
          <w:r>
            <w:rPr>
              <w:i/>
              <w:w w:val="105"/>
            </w:rPr>
            <w:t>5</w:t>
          </w:r>
          <w:r>
            <w:rPr>
              <w:w w:val="105"/>
            </w:rPr>
            <w:t>.4.1.1</w:t>
          </w:r>
          <w:r>
            <w:rPr>
              <w:spacing w:val="3"/>
              <w:w w:val="105"/>
            </w:rPr>
            <w:t> </w:t>
          </w:r>
          <w:r>
            <w:rPr>
              <w:w w:val="105"/>
            </w:rPr>
            <w:t>IP</w:t>
          </w:r>
          <w:r>
            <w:rPr>
              <w:spacing w:val="3"/>
              <w:w w:val="105"/>
            </w:rPr>
            <w:t> </w:t>
          </w:r>
          <w:r>
            <w:rPr>
              <w:w w:val="105"/>
            </w:rPr>
            <w:t>Findings</w:t>
          </w:r>
          <w:r>
            <w:rPr>
              <w:rFonts w:ascii="Times New Roman"/>
              <w:w w:val="105"/>
            </w:rPr>
            <w:tab/>
          </w:r>
          <w:r>
            <w:rPr>
              <w:w w:val="105"/>
            </w:rPr>
            <w:t>73</w:t>
          </w:r>
        </w:p>
        <w:p>
          <w:pPr>
            <w:pStyle w:val="TOC3"/>
            <w:numPr>
              <w:ilvl w:val="2"/>
              <w:numId w:val="5"/>
            </w:numPr>
            <w:tabs>
              <w:tab w:pos="1093" w:val="left" w:leader="none"/>
              <w:tab w:pos="8744" w:val="right" w:leader="dot"/>
            </w:tabs>
            <w:spacing w:line="266" w:lineRule="exact" w:before="0" w:after="0"/>
            <w:ind w:left="1092" w:right="0" w:hanging="493"/>
            <w:jc w:val="left"/>
          </w:pPr>
          <w:r>
            <w:rPr>
              <w:w w:val="105"/>
            </w:rPr>
            <w:t>Urine</w:t>
          </w:r>
          <w:r>
            <w:rPr>
              <w:spacing w:val="2"/>
              <w:w w:val="105"/>
            </w:rPr>
            <w:t> </w:t>
          </w:r>
          <w:r>
            <w:rPr>
              <w:w w:val="105"/>
            </w:rPr>
            <w:t>Analysis</w:t>
          </w:r>
          <w:r>
            <w:rPr>
              <w:rFonts w:ascii="Times New Roman"/>
              <w:w w:val="105"/>
            </w:rPr>
            <w:tab/>
          </w:r>
          <w:r>
            <w:rPr>
              <w:w w:val="105"/>
            </w:rPr>
            <w:t>73</w:t>
          </w:r>
        </w:p>
        <w:p>
          <w:pPr>
            <w:pStyle w:val="TOC3"/>
            <w:tabs>
              <w:tab w:pos="8742" w:val="right" w:leader="dot"/>
            </w:tabs>
            <w:spacing w:line="274" w:lineRule="exact"/>
            <w:ind w:left="599" w:firstLine="0"/>
          </w:pPr>
          <w:r>
            <w:rPr>
              <w:w w:val="105"/>
            </w:rPr>
            <w:t>5.4.2.1</w:t>
          </w:r>
          <w:r>
            <w:rPr>
              <w:spacing w:val="2"/>
              <w:w w:val="105"/>
            </w:rPr>
            <w:t> </w:t>
          </w:r>
          <w:r>
            <w:rPr>
              <w:w w:val="105"/>
            </w:rPr>
            <w:t>IP </w:t>
          </w:r>
          <w:r>
            <w:rPr>
              <w:spacing w:val="2"/>
              <w:w w:val="105"/>
            </w:rPr>
            <w:t>Findings</w:t>
          </w:r>
          <w:r>
            <w:rPr>
              <w:rFonts w:ascii="Times New Roman"/>
              <w:spacing w:val="2"/>
              <w:w w:val="105"/>
            </w:rPr>
            <w:tab/>
          </w:r>
          <w:r>
            <w:rPr>
              <w:w w:val="105"/>
            </w:rPr>
            <w:t>75</w:t>
          </w:r>
        </w:p>
        <w:p>
          <w:pPr>
            <w:pStyle w:val="TOC1"/>
            <w:tabs>
              <w:tab w:pos="8733" w:val="right" w:leader="dot"/>
            </w:tabs>
            <w:spacing w:before="116"/>
          </w:pPr>
          <w:hyperlink w:history="true" w:anchor="_TOC_250001">
            <w:r>
              <w:rPr>
                <w:w w:val="110"/>
              </w:rPr>
              <w:t>Chapter 6:  Other</w:t>
            </w:r>
            <w:r>
              <w:rPr>
                <w:spacing w:val="-23"/>
                <w:w w:val="110"/>
              </w:rPr>
              <w:t> </w:t>
            </w:r>
            <w:r>
              <w:rPr>
                <w:w w:val="110"/>
              </w:rPr>
              <w:t>Sporting</w:t>
            </w:r>
            <w:r>
              <w:rPr>
                <w:spacing w:val="-9"/>
                <w:w w:val="110"/>
              </w:rPr>
              <w:t> </w:t>
            </w:r>
            <w:r>
              <w:rPr>
                <w:w w:val="110"/>
              </w:rPr>
              <w:t>Events</w:t>
              <w:tab/>
              <w:t>76</w:t>
            </w:r>
          </w:hyperlink>
        </w:p>
        <w:p>
          <w:pPr>
            <w:pStyle w:val="TOC2"/>
            <w:numPr>
              <w:ilvl w:val="1"/>
              <w:numId w:val="6"/>
            </w:numPr>
            <w:tabs>
              <w:tab w:pos="688" w:val="left" w:leader="none"/>
              <w:tab w:pos="8741" w:val="right" w:leader="dot"/>
            </w:tabs>
            <w:spacing w:line="240" w:lineRule="auto" w:before="19" w:after="0"/>
            <w:ind w:left="688" w:right="0" w:hanging="329"/>
            <w:jc w:val="left"/>
          </w:pPr>
          <w:r>
            <w:rPr>
              <w:w w:val="115"/>
            </w:rPr>
            <w:t>Introduction</w:t>
            <w:tab/>
            <w:t>76</w:t>
          </w:r>
        </w:p>
        <w:p>
          <w:pPr>
            <w:pStyle w:val="TOC2"/>
            <w:numPr>
              <w:ilvl w:val="1"/>
              <w:numId w:val="6"/>
            </w:numPr>
            <w:tabs>
              <w:tab w:pos="689" w:val="left" w:leader="none"/>
              <w:tab w:pos="8741" w:val="right" w:leader="dot"/>
            </w:tabs>
            <w:spacing w:line="241" w:lineRule="exact" w:before="28" w:after="0"/>
            <w:ind w:left="688" w:right="0" w:hanging="329"/>
            <w:jc w:val="left"/>
          </w:pPr>
          <w:r>
            <w:rPr>
              <w:w w:val="115"/>
            </w:rPr>
            <w:t>London 2012</w:t>
          </w:r>
          <w:r>
            <w:rPr>
              <w:spacing w:val="-8"/>
              <w:w w:val="115"/>
            </w:rPr>
            <w:t> </w:t>
          </w:r>
          <w:r>
            <w:rPr>
              <w:w w:val="115"/>
            </w:rPr>
            <w:t>Olympic</w:t>
          </w:r>
          <w:r>
            <w:rPr>
              <w:spacing w:val="-4"/>
              <w:w w:val="115"/>
            </w:rPr>
            <w:t> </w:t>
          </w:r>
          <w:r>
            <w:rPr>
              <w:w w:val="115"/>
            </w:rPr>
            <w:t>Games</w:t>
            <w:tab/>
            <w:t>76</w:t>
          </w:r>
        </w:p>
        <w:p>
          <w:pPr>
            <w:pStyle w:val="TOC3"/>
            <w:tabs>
              <w:tab w:pos="8742" w:val="right" w:leader="dot"/>
            </w:tabs>
            <w:spacing w:line="282" w:lineRule="exact"/>
            <w:ind w:left="599" w:firstLine="0"/>
          </w:pPr>
          <w:r>
            <w:rPr>
              <w:w w:val="105"/>
            </w:rPr>
            <w:t>6.2.1 The IOC Re-Testing of Results of the London 2012</w:t>
          </w:r>
          <w:r>
            <w:rPr>
              <w:spacing w:val="-13"/>
              <w:w w:val="105"/>
            </w:rPr>
            <w:t> </w:t>
          </w:r>
          <w:r>
            <w:rPr>
              <w:w w:val="105"/>
            </w:rPr>
            <w:t>Olympic</w:t>
          </w:r>
          <w:r>
            <w:rPr>
              <w:spacing w:val="-3"/>
              <w:w w:val="105"/>
            </w:rPr>
            <w:t> </w:t>
          </w:r>
          <w:r>
            <w:rPr>
              <w:spacing w:val="2"/>
              <w:w w:val="105"/>
            </w:rPr>
            <w:t>Games</w:t>
          </w:r>
          <w:r>
            <w:rPr>
              <w:rFonts w:ascii="Times New Roman"/>
              <w:spacing w:val="2"/>
              <w:w w:val="105"/>
            </w:rPr>
            <w:tab/>
          </w:r>
          <w:r>
            <w:rPr>
              <w:w w:val="105"/>
            </w:rPr>
            <w:t>82</w:t>
          </w:r>
        </w:p>
        <w:p>
          <w:pPr>
            <w:pStyle w:val="TOC2"/>
            <w:numPr>
              <w:ilvl w:val="1"/>
              <w:numId w:val="6"/>
            </w:numPr>
            <w:tabs>
              <w:tab w:pos="689" w:val="left" w:leader="none"/>
              <w:tab w:pos="8742" w:val="right" w:leader="dot"/>
            </w:tabs>
            <w:spacing w:line="240" w:lineRule="auto" w:before="5" w:after="0"/>
            <w:ind w:left="688" w:right="0" w:hanging="329"/>
            <w:jc w:val="left"/>
          </w:pPr>
          <w:r>
            <w:rPr>
              <w:w w:val="115"/>
            </w:rPr>
            <w:t>World University Games,</w:t>
          </w:r>
          <w:r>
            <w:rPr>
              <w:spacing w:val="-12"/>
              <w:w w:val="115"/>
            </w:rPr>
            <w:t> </w:t>
          </w:r>
          <w:r>
            <w:rPr>
              <w:w w:val="115"/>
            </w:rPr>
            <w:t>Kazan</w:t>
          </w:r>
          <w:r>
            <w:rPr>
              <w:spacing w:val="-3"/>
              <w:w w:val="115"/>
            </w:rPr>
            <w:t> </w:t>
          </w:r>
          <w:r>
            <w:rPr>
              <w:w w:val="115"/>
            </w:rPr>
            <w:t>2013</w:t>
            <w:tab/>
            <w:t>83</w:t>
          </w:r>
        </w:p>
        <w:p>
          <w:pPr>
            <w:pStyle w:val="TOC2"/>
            <w:numPr>
              <w:ilvl w:val="1"/>
              <w:numId w:val="6"/>
            </w:numPr>
            <w:tabs>
              <w:tab w:pos="689" w:val="left" w:leader="none"/>
              <w:tab w:pos="8745" w:val="right" w:leader="dot"/>
            </w:tabs>
            <w:spacing w:line="240" w:lineRule="auto" w:before="22" w:after="0"/>
            <w:ind w:left="688" w:right="0" w:hanging="329"/>
            <w:jc w:val="left"/>
          </w:pPr>
          <w:r>
            <w:rPr>
              <w:w w:val="115"/>
            </w:rPr>
            <w:t>2013 Moscow IAAF World Championships</w:t>
          </w:r>
          <w:r>
            <w:rPr>
              <w:spacing w:val="24"/>
              <w:w w:val="115"/>
            </w:rPr>
            <w:t> </w:t>
          </w:r>
          <w:r>
            <w:rPr>
              <w:w w:val="115"/>
            </w:rPr>
            <w:t>("Moscow</w:t>
          </w:r>
          <w:r>
            <w:rPr>
              <w:spacing w:val="2"/>
              <w:w w:val="115"/>
            </w:rPr>
            <w:t> </w:t>
          </w:r>
          <w:r>
            <w:rPr>
              <w:w w:val="115"/>
            </w:rPr>
            <w:t>Championships")</w:t>
            <w:tab/>
            <w:t>84</w:t>
          </w:r>
        </w:p>
        <w:p>
          <w:pPr>
            <w:pStyle w:val="TOC1"/>
            <w:tabs>
              <w:tab w:pos="8733" w:val="right" w:leader="dot"/>
            </w:tabs>
            <w:spacing w:before="138"/>
          </w:pPr>
          <w:hyperlink w:history="true" w:anchor="_TOC_250000">
            <w:r>
              <w:rPr>
                <w:w w:val="110"/>
              </w:rPr>
              <w:t>Chapter 7: Summary</w:t>
            </w:r>
            <w:r>
              <w:rPr>
                <w:spacing w:val="-21"/>
                <w:w w:val="110"/>
              </w:rPr>
              <w:t> </w:t>
            </w:r>
            <w:r>
              <w:rPr>
                <w:w w:val="110"/>
              </w:rPr>
              <w:t>of</w:t>
            </w:r>
            <w:r>
              <w:rPr>
                <w:spacing w:val="-4"/>
                <w:w w:val="110"/>
              </w:rPr>
              <w:t> </w:t>
            </w:r>
            <w:r>
              <w:rPr>
                <w:w w:val="110"/>
              </w:rPr>
              <w:t>Findings</w:t>
              <w:tab/>
              <w:t>86</w:t>
            </w:r>
          </w:hyperlink>
        </w:p>
        <w:p>
          <w:pPr>
            <w:pStyle w:val="TOC1"/>
            <w:tabs>
              <w:tab w:pos="8732" w:val="right" w:leader="dot"/>
            </w:tabs>
            <w:spacing w:before="132"/>
          </w:pPr>
          <w:r>
            <w:rPr>
              <w:w w:val="105"/>
            </w:rPr>
            <w:t>EXHIBIT</w:t>
          </w:r>
          <w:r>
            <w:rPr>
              <w:spacing w:val="-6"/>
              <w:w w:val="105"/>
            </w:rPr>
            <w:t> </w:t>
          </w:r>
          <w:r>
            <w:rPr>
              <w:w w:val="105"/>
            </w:rPr>
            <w:t>1</w:t>
            <w:tab/>
            <w:t>91</w:t>
          </w:r>
        </w:p>
      </w:sdtContent>
    </w:sdt>
    <w:p>
      <w:pPr>
        <w:spacing w:after="0"/>
        <w:sectPr>
          <w:type w:val="continuous"/>
          <w:pgSz w:w="12240" w:h="15840"/>
          <w:pgMar w:top="1420" w:bottom="1414" w:left="1700" w:right="1680"/>
        </w:sectPr>
      </w:pPr>
    </w:p>
    <w:p>
      <w:pPr>
        <w:spacing w:after="0"/>
        <w:sectPr>
          <w:type w:val="continuous"/>
          <w:pgSz w:w="12240" w:h="15840"/>
          <w:pgMar w:top="1440" w:bottom="900" w:left="1700" w:right="1680"/>
        </w:sectPr>
      </w:pPr>
    </w:p>
    <w:p>
      <w:pPr>
        <w:pStyle w:val="BodyText"/>
        <w:rPr>
          <w:sz w:val="28"/>
        </w:rPr>
      </w:pPr>
    </w:p>
    <w:p>
      <w:pPr>
        <w:pStyle w:val="BodyText"/>
        <w:spacing w:before="9"/>
        <w:rPr>
          <w:sz w:val="28"/>
        </w:rPr>
      </w:pPr>
    </w:p>
    <w:p>
      <w:pPr>
        <w:pStyle w:val="Heading1"/>
        <w:jc w:val="left"/>
        <w:rPr>
          <w:rFonts w:ascii="Times New Roman"/>
        </w:rPr>
      </w:pPr>
      <w:bookmarkStart w:name="_TOC_250007" w:id="1"/>
      <w:bookmarkEnd w:id="1"/>
      <w:r>
        <w:rPr>
          <w:rFonts w:ascii="Times New Roman"/>
          <w:w w:val="115"/>
        </w:rPr>
        <w:t>Glossary</w:t>
      </w:r>
    </w:p>
    <w:p>
      <w:pPr>
        <w:pStyle w:val="BodyText"/>
        <w:rPr>
          <w:sz w:val="28"/>
        </w:rPr>
      </w:pPr>
    </w:p>
    <w:p>
      <w:pPr>
        <w:pStyle w:val="BodyText"/>
        <w:tabs>
          <w:tab w:pos="2209" w:val="left" w:leader="none"/>
        </w:tabs>
        <w:spacing w:before="244"/>
        <w:ind w:left="119"/>
        <w:rPr>
          <w:rFonts w:ascii="Palatino Linotype"/>
        </w:rPr>
      </w:pPr>
      <w:r>
        <w:rPr>
          <w:rFonts w:ascii="Palatino Linotype"/>
        </w:rPr>
        <w:t>AAF</w:t>
        <w:tab/>
        <w:t>Adverse Analytical</w:t>
      </w:r>
      <w:r>
        <w:rPr>
          <w:rFonts w:ascii="Palatino Linotype"/>
          <w:spacing w:val="-18"/>
        </w:rPr>
        <w:t> </w:t>
      </w:r>
      <w:r>
        <w:rPr>
          <w:rFonts w:ascii="Palatino Linotype"/>
        </w:rPr>
        <w:t>Finding</w:t>
      </w:r>
    </w:p>
    <w:p>
      <w:pPr>
        <w:pStyle w:val="BodyText"/>
        <w:tabs>
          <w:tab w:pos="2213" w:val="left" w:leader="none"/>
        </w:tabs>
        <w:spacing w:before="108"/>
        <w:ind w:left="119"/>
        <w:rPr>
          <w:rFonts w:ascii="Palatino Linotype"/>
        </w:rPr>
      </w:pPr>
      <w:r>
        <w:rPr>
          <w:rFonts w:ascii="Palatino Linotype"/>
        </w:rPr>
        <w:t>ABP</w:t>
        <w:tab/>
        <w:t>Athlete Biological</w:t>
      </w:r>
      <w:r>
        <w:rPr>
          <w:rFonts w:ascii="Palatino Linotype"/>
          <w:spacing w:val="-21"/>
        </w:rPr>
        <w:t> </w:t>
      </w:r>
      <w:r>
        <w:rPr>
          <w:rFonts w:ascii="Palatino Linotype"/>
        </w:rPr>
        <w:t>Passport</w:t>
      </w:r>
    </w:p>
    <w:p>
      <w:pPr>
        <w:pStyle w:val="BodyText"/>
        <w:tabs>
          <w:tab w:pos="2209" w:val="left" w:leader="none"/>
        </w:tabs>
        <w:spacing w:line="319" w:lineRule="auto" w:before="113"/>
        <w:ind w:left="119" w:right="1067"/>
        <w:rPr>
          <w:rFonts w:ascii="Palatino Linotype"/>
        </w:rPr>
      </w:pPr>
      <w:r>
        <w:rPr>
          <w:rFonts w:ascii="Palatino Linotype"/>
        </w:rPr>
        <w:t>ADAMS</w:t>
        <w:tab/>
        <w:t>Anti-Doping Administration &amp;</w:t>
      </w:r>
      <w:r>
        <w:rPr>
          <w:rFonts w:ascii="Palatino Linotype"/>
          <w:spacing w:val="-28"/>
        </w:rPr>
        <w:t> </w:t>
      </w:r>
      <w:r>
        <w:rPr>
          <w:rFonts w:ascii="Palatino Linotype"/>
        </w:rPr>
        <w:t>Management</w:t>
      </w:r>
      <w:r>
        <w:rPr>
          <w:rFonts w:ascii="Palatino Linotype"/>
          <w:spacing w:val="-10"/>
        </w:rPr>
        <w:t> </w:t>
      </w:r>
      <w:r>
        <w:rPr>
          <w:rFonts w:ascii="Palatino Linotype"/>
        </w:rPr>
        <w:t>System</w:t>
      </w:r>
      <w:r>
        <w:rPr>
          <w:rFonts w:ascii="Palatino Linotype"/>
          <w:spacing w:val="-1"/>
          <w:w w:val="99"/>
        </w:rPr>
        <w:t> </w:t>
      </w:r>
      <w:r>
        <w:rPr>
          <w:rFonts w:ascii="Palatino Linotype"/>
        </w:rPr>
        <w:t>ARAF</w:t>
        <w:tab/>
        <w:t>All-Russian Athletics</w:t>
      </w:r>
      <w:r>
        <w:rPr>
          <w:rFonts w:ascii="Palatino Linotype"/>
          <w:spacing w:val="-23"/>
        </w:rPr>
        <w:t> </w:t>
      </w:r>
      <w:r>
        <w:rPr>
          <w:rFonts w:ascii="Palatino Linotype"/>
        </w:rPr>
        <w:t>Federation</w:t>
      </w:r>
    </w:p>
    <w:p>
      <w:pPr>
        <w:spacing w:after="0" w:line="319" w:lineRule="auto"/>
        <w:rPr>
          <w:rFonts w:ascii="Palatino Linotype"/>
        </w:rPr>
        <w:sectPr>
          <w:pgSz w:w="12240" w:h="15840"/>
          <w:pgMar w:header="0" w:footer="702" w:top="1500" w:bottom="900" w:left="1700" w:right="1680"/>
        </w:sectPr>
      </w:pPr>
    </w:p>
    <w:p>
      <w:pPr>
        <w:pStyle w:val="BodyText"/>
        <w:spacing w:line="319" w:lineRule="auto" w:before="6"/>
        <w:ind w:left="119" w:right="-15"/>
        <w:rPr>
          <w:rFonts w:ascii="Palatino Linotype"/>
        </w:rPr>
      </w:pPr>
      <w:r>
        <w:rPr>
          <w:rFonts w:ascii="Palatino Linotype"/>
        </w:rPr>
        <w:t>A samples and</w:t>
      </w:r>
      <w:r>
        <w:rPr>
          <w:rFonts w:ascii="Palatino Linotype"/>
          <w:spacing w:val="-11"/>
        </w:rPr>
        <w:t> </w:t>
      </w:r>
      <w:r>
        <w:rPr>
          <w:rFonts w:ascii="Palatino Linotype"/>
        </w:rPr>
        <w:t>B samples</w:t>
      </w:r>
    </w:p>
    <w:p>
      <w:pPr>
        <w:pStyle w:val="BodyText"/>
        <w:spacing w:line="247" w:lineRule="auto" w:before="6"/>
        <w:ind w:left="119" w:right="99"/>
        <w:jc w:val="both"/>
        <w:rPr>
          <w:rFonts w:ascii="Palatino Linotype"/>
        </w:rPr>
      </w:pPr>
      <w:r>
        <w:rPr/>
        <w:br w:type="column"/>
      </w:r>
      <w:r>
        <w:rPr>
          <w:rFonts w:ascii="Palatino Linotype"/>
        </w:rPr>
        <w:t>In doping control conducted under the World Anti-Doping Code, the urine collected from an athlete is divided into an A bottle and a B bottle. An initial screen is performed on the A bottle. If a suspicious result is found in that screen, then a confirmatory analysis is performed on the A sample. If the athlete requests, the B bottle is opened and a confirmatory analysis is performed on the urine in that bottle as well.</w:t>
      </w:r>
    </w:p>
    <w:p>
      <w:pPr>
        <w:spacing w:after="0" w:line="247" w:lineRule="auto"/>
        <w:jc w:val="both"/>
        <w:rPr>
          <w:rFonts w:ascii="Palatino Linotype"/>
        </w:rPr>
        <w:sectPr>
          <w:type w:val="continuous"/>
          <w:pgSz w:w="12240" w:h="15840"/>
          <w:pgMar w:top="1500" w:bottom="280" w:left="1700" w:right="1680"/>
          <w:cols w:num="2" w:equalWidth="0">
            <w:col w:w="1897" w:space="194"/>
            <w:col w:w="6769"/>
          </w:cols>
        </w:sectPr>
      </w:pPr>
    </w:p>
    <w:p>
      <w:pPr>
        <w:pStyle w:val="BodyText"/>
        <w:tabs>
          <w:tab w:pos="2211" w:val="left" w:leader="none"/>
        </w:tabs>
        <w:spacing w:line="321" w:lineRule="exact"/>
        <w:ind w:left="119"/>
        <w:rPr>
          <w:rFonts w:ascii="Palatino Linotype"/>
        </w:rPr>
      </w:pPr>
      <w:r>
        <w:rPr>
          <w:rFonts w:ascii="Palatino Linotype"/>
        </w:rPr>
        <w:t>CAS</w:t>
        <w:tab/>
        <w:t>Court of Arbitration for</w:t>
      </w:r>
      <w:r>
        <w:rPr>
          <w:rFonts w:ascii="Palatino Linotype"/>
          <w:spacing w:val="-21"/>
        </w:rPr>
        <w:t> </w:t>
      </w:r>
      <w:r>
        <w:rPr>
          <w:rFonts w:ascii="Palatino Linotype"/>
        </w:rPr>
        <w:t>Sport</w:t>
      </w:r>
    </w:p>
    <w:p>
      <w:pPr>
        <w:pStyle w:val="BodyText"/>
        <w:tabs>
          <w:tab w:pos="2210" w:val="left" w:leader="none"/>
        </w:tabs>
        <w:spacing w:before="108"/>
        <w:ind w:left="119"/>
        <w:rPr>
          <w:rFonts w:ascii="Palatino Linotype"/>
        </w:rPr>
      </w:pPr>
      <w:r>
        <w:rPr>
          <w:rFonts w:ascii="Palatino Linotype"/>
        </w:rPr>
        <w:t>Code</w:t>
        <w:tab/>
        <w:t>World Anti-Doping</w:t>
      </w:r>
      <w:r>
        <w:rPr>
          <w:rFonts w:ascii="Palatino Linotype"/>
          <w:spacing w:val="-13"/>
        </w:rPr>
        <w:t> </w:t>
      </w:r>
      <w:r>
        <w:rPr>
          <w:rFonts w:ascii="Palatino Linotype"/>
        </w:rPr>
        <w:t>Code</w:t>
      </w:r>
    </w:p>
    <w:p>
      <w:pPr>
        <w:pStyle w:val="BodyText"/>
        <w:tabs>
          <w:tab w:pos="2211" w:val="left" w:leader="none"/>
        </w:tabs>
        <w:spacing w:before="113"/>
        <w:ind w:left="119"/>
        <w:rPr>
          <w:rFonts w:ascii="Palatino Linotype"/>
        </w:rPr>
      </w:pPr>
      <w:r>
        <w:rPr>
          <w:rFonts w:ascii="Palatino Linotype"/>
        </w:rPr>
        <w:t>CSP</w:t>
        <w:tab/>
        <w:t>Center</w:t>
      </w:r>
      <w:r>
        <w:rPr>
          <w:rFonts w:ascii="Palatino Linotype"/>
          <w:spacing w:val="-6"/>
        </w:rPr>
        <w:t> </w:t>
      </w:r>
      <w:r>
        <w:rPr>
          <w:rFonts w:ascii="Palatino Linotype"/>
        </w:rPr>
        <w:t>of</w:t>
      </w:r>
      <w:r>
        <w:rPr>
          <w:rFonts w:ascii="Palatino Linotype"/>
          <w:spacing w:val="-5"/>
        </w:rPr>
        <w:t> </w:t>
      </w:r>
      <w:r>
        <w:rPr>
          <w:rFonts w:ascii="Palatino Linotype"/>
        </w:rPr>
        <w:t>Sports</w:t>
      </w:r>
      <w:r>
        <w:rPr>
          <w:rFonts w:ascii="Palatino Linotype"/>
          <w:spacing w:val="-5"/>
        </w:rPr>
        <w:t> </w:t>
      </w:r>
      <w:r>
        <w:rPr>
          <w:rFonts w:ascii="Palatino Linotype"/>
        </w:rPr>
        <w:t>Preparation</w:t>
      </w:r>
      <w:r>
        <w:rPr>
          <w:rFonts w:ascii="Palatino Linotype"/>
          <w:spacing w:val="-5"/>
        </w:rPr>
        <w:t> </w:t>
      </w:r>
      <w:r>
        <w:rPr>
          <w:rFonts w:ascii="Palatino Linotype"/>
        </w:rPr>
        <w:t>of</w:t>
      </w:r>
      <w:r>
        <w:rPr>
          <w:rFonts w:ascii="Palatino Linotype"/>
          <w:spacing w:val="-6"/>
        </w:rPr>
        <w:t> </w:t>
      </w:r>
      <w:r>
        <w:rPr>
          <w:rFonts w:ascii="Palatino Linotype"/>
        </w:rPr>
        <w:t>National</w:t>
      </w:r>
      <w:r>
        <w:rPr>
          <w:rFonts w:ascii="Palatino Linotype"/>
          <w:spacing w:val="-6"/>
        </w:rPr>
        <w:t> </w:t>
      </w:r>
      <w:r>
        <w:rPr>
          <w:rFonts w:ascii="Palatino Linotype"/>
        </w:rPr>
        <w:t>Teams</w:t>
      </w:r>
      <w:r>
        <w:rPr>
          <w:rFonts w:ascii="Palatino Linotype"/>
          <w:spacing w:val="-6"/>
        </w:rPr>
        <w:t> </w:t>
      </w:r>
      <w:r>
        <w:rPr>
          <w:rFonts w:ascii="Palatino Linotype"/>
        </w:rPr>
        <w:t>of</w:t>
      </w:r>
      <w:r>
        <w:rPr>
          <w:rFonts w:ascii="Palatino Linotype"/>
          <w:spacing w:val="-6"/>
        </w:rPr>
        <w:t> </w:t>
      </w:r>
      <w:r>
        <w:rPr>
          <w:rFonts w:ascii="Palatino Linotype"/>
        </w:rPr>
        <w:t>Russia</w:t>
      </w:r>
    </w:p>
    <w:p>
      <w:pPr>
        <w:pStyle w:val="BodyText"/>
        <w:tabs>
          <w:tab w:pos="2210" w:val="left" w:leader="none"/>
        </w:tabs>
        <w:spacing w:before="108"/>
        <w:ind w:left="119"/>
        <w:rPr>
          <w:rFonts w:ascii="Palatino Linotype"/>
        </w:rPr>
      </w:pPr>
      <w:r>
        <w:rPr>
          <w:rFonts w:ascii="Palatino Linotype"/>
        </w:rPr>
        <w:t>DCC</w:t>
        <w:tab/>
        <w:t>Kings College Doping Control</w:t>
      </w:r>
      <w:r>
        <w:rPr>
          <w:rFonts w:ascii="Palatino Linotype"/>
          <w:spacing w:val="-20"/>
        </w:rPr>
        <w:t> </w:t>
      </w:r>
      <w:r>
        <w:rPr>
          <w:rFonts w:ascii="Palatino Linotype"/>
        </w:rPr>
        <w:t>Centre</w:t>
      </w:r>
    </w:p>
    <w:p>
      <w:pPr>
        <w:pStyle w:val="BodyText"/>
        <w:tabs>
          <w:tab w:pos="2212" w:val="left" w:leader="none"/>
        </w:tabs>
        <w:spacing w:before="113"/>
        <w:ind w:left="119"/>
        <w:rPr>
          <w:rFonts w:ascii="Palatino Linotype"/>
        </w:rPr>
      </w:pPr>
      <w:r>
        <w:rPr>
          <w:rFonts w:ascii="Palatino Linotype"/>
        </w:rPr>
        <w:t>DCF</w:t>
        <w:tab/>
        <w:t>Doping Control</w:t>
      </w:r>
      <w:r>
        <w:rPr>
          <w:rFonts w:ascii="Palatino Linotype"/>
          <w:spacing w:val="-14"/>
        </w:rPr>
        <w:t> </w:t>
      </w:r>
      <w:r>
        <w:rPr>
          <w:rFonts w:ascii="Palatino Linotype"/>
        </w:rPr>
        <w:t>Form</w:t>
      </w:r>
    </w:p>
    <w:p>
      <w:pPr>
        <w:pStyle w:val="BodyText"/>
        <w:tabs>
          <w:tab w:pos="2212" w:val="left" w:leader="none"/>
        </w:tabs>
        <w:spacing w:before="108"/>
        <w:ind w:left="119"/>
        <w:rPr>
          <w:rFonts w:ascii="Palatino Linotype"/>
        </w:rPr>
      </w:pPr>
      <w:r>
        <w:rPr>
          <w:rFonts w:ascii="Palatino Linotype"/>
        </w:rPr>
        <w:t>DCO</w:t>
        <w:tab/>
        <w:t>Doping Control</w:t>
      </w:r>
      <w:r>
        <w:rPr>
          <w:rFonts w:ascii="Palatino Linotype"/>
          <w:spacing w:val="-17"/>
        </w:rPr>
        <w:t> </w:t>
      </w:r>
      <w:r>
        <w:rPr>
          <w:rFonts w:ascii="Palatino Linotype"/>
        </w:rPr>
        <w:t>Officer</w:t>
      </w:r>
    </w:p>
    <w:p>
      <w:pPr>
        <w:pStyle w:val="BodyText"/>
        <w:tabs>
          <w:tab w:pos="2211" w:val="left" w:leader="none"/>
        </w:tabs>
        <w:spacing w:before="108"/>
        <w:ind w:left="119"/>
        <w:rPr>
          <w:rFonts w:ascii="Palatino Linotype"/>
        </w:rPr>
      </w:pPr>
      <w:r>
        <w:rPr>
          <w:rFonts w:ascii="Palatino Linotype"/>
        </w:rPr>
        <w:t>EPO</w:t>
        <w:tab/>
        <w:t>Erythropoietin</w:t>
      </w:r>
    </w:p>
    <w:p>
      <w:pPr>
        <w:pStyle w:val="BodyText"/>
        <w:tabs>
          <w:tab w:pos="2212" w:val="left" w:leader="none"/>
        </w:tabs>
        <w:spacing w:before="113"/>
        <w:ind w:left="119"/>
        <w:rPr>
          <w:rFonts w:ascii="Palatino Linotype"/>
        </w:rPr>
      </w:pPr>
      <w:r>
        <w:rPr>
          <w:rFonts w:ascii="Palatino Linotype"/>
        </w:rPr>
        <w:t>FIFA</w:t>
        <w:tab/>
        <w:t>Federation Internationale de Football</w:t>
      </w:r>
      <w:r>
        <w:rPr>
          <w:rFonts w:ascii="Palatino Linotype"/>
          <w:spacing w:val="-35"/>
        </w:rPr>
        <w:t> </w:t>
      </w:r>
      <w:r>
        <w:rPr>
          <w:rFonts w:ascii="Palatino Linotype"/>
        </w:rPr>
        <w:t>Association</w:t>
      </w:r>
    </w:p>
    <w:p>
      <w:pPr>
        <w:pStyle w:val="BodyText"/>
        <w:tabs>
          <w:tab w:pos="2209" w:val="left" w:leader="none"/>
        </w:tabs>
        <w:spacing w:before="108"/>
        <w:ind w:left="119"/>
        <w:rPr>
          <w:rFonts w:ascii="Palatino Linotype"/>
        </w:rPr>
      </w:pPr>
      <w:r>
        <w:rPr>
          <w:rFonts w:ascii="Palatino Linotype"/>
        </w:rPr>
        <w:t>FSB</w:t>
        <w:tab/>
        <w:t>Russian Federal Security</w:t>
      </w:r>
      <w:r>
        <w:rPr>
          <w:rFonts w:ascii="Palatino Linotype"/>
          <w:spacing w:val="-24"/>
        </w:rPr>
        <w:t> </w:t>
      </w:r>
      <w:r>
        <w:rPr>
          <w:rFonts w:ascii="Palatino Linotype"/>
        </w:rPr>
        <w:t>Service</w:t>
      </w:r>
    </w:p>
    <w:p>
      <w:pPr>
        <w:pStyle w:val="BodyText"/>
        <w:tabs>
          <w:tab w:pos="2211" w:val="left" w:leader="none"/>
        </w:tabs>
        <w:spacing w:before="113"/>
        <w:ind w:left="119"/>
        <w:rPr>
          <w:rFonts w:ascii="Palatino Linotype"/>
        </w:rPr>
      </w:pPr>
      <w:r>
        <w:rPr>
          <w:rFonts w:ascii="Palatino Linotype"/>
        </w:rPr>
        <w:t>IAAF</w:t>
        <w:tab/>
        <w:t>International Association of Athletics</w:t>
      </w:r>
      <w:r>
        <w:rPr>
          <w:rFonts w:ascii="Palatino Linotype"/>
          <w:spacing w:val="-38"/>
        </w:rPr>
        <w:t> </w:t>
      </w:r>
      <w:r>
        <w:rPr>
          <w:rFonts w:ascii="Palatino Linotype"/>
        </w:rPr>
        <w:t>Federations</w:t>
      </w:r>
    </w:p>
    <w:p>
      <w:pPr>
        <w:pStyle w:val="BodyText"/>
        <w:tabs>
          <w:tab w:pos="2210" w:val="left" w:leader="none"/>
        </w:tabs>
        <w:spacing w:before="108"/>
        <w:ind w:left="119"/>
        <w:rPr>
          <w:rFonts w:ascii="Palatino Linotype"/>
        </w:rPr>
      </w:pPr>
      <w:r>
        <w:rPr>
          <w:rFonts w:ascii="Palatino Linotype"/>
        </w:rPr>
        <w:t>IC</w:t>
        <w:tab/>
        <w:t>Independent</w:t>
      </w:r>
      <w:r>
        <w:rPr>
          <w:rFonts w:ascii="Palatino Linotype"/>
          <w:spacing w:val="-15"/>
        </w:rPr>
        <w:t> </w:t>
      </w:r>
      <w:r>
        <w:rPr>
          <w:rFonts w:ascii="Palatino Linotype"/>
        </w:rPr>
        <w:t>Commission</w:t>
      </w:r>
    </w:p>
    <w:p>
      <w:pPr>
        <w:pStyle w:val="BodyText"/>
        <w:tabs>
          <w:tab w:pos="2209" w:val="left" w:leader="none"/>
        </w:tabs>
        <w:spacing w:before="108"/>
        <w:ind w:left="119"/>
        <w:rPr>
          <w:rFonts w:ascii="Palatino Linotype"/>
        </w:rPr>
      </w:pPr>
      <w:r>
        <w:rPr>
          <w:rFonts w:ascii="Palatino Linotype"/>
        </w:rPr>
        <w:t>IP</w:t>
        <w:tab/>
        <w:t>Independent</w:t>
      </w:r>
      <w:r>
        <w:rPr>
          <w:rFonts w:ascii="Palatino Linotype"/>
          <w:spacing w:val="-10"/>
        </w:rPr>
        <w:t> </w:t>
      </w:r>
      <w:r>
        <w:rPr>
          <w:rFonts w:ascii="Palatino Linotype"/>
        </w:rPr>
        <w:t>Person</w:t>
      </w:r>
    </w:p>
    <w:p>
      <w:pPr>
        <w:pStyle w:val="BodyText"/>
        <w:tabs>
          <w:tab w:pos="2209" w:val="left" w:leader="none"/>
        </w:tabs>
        <w:spacing w:before="113"/>
        <w:ind w:left="119"/>
        <w:rPr>
          <w:rFonts w:ascii="Palatino Linotype"/>
        </w:rPr>
      </w:pPr>
      <w:r>
        <w:rPr>
          <w:rFonts w:ascii="Palatino Linotype"/>
        </w:rPr>
        <w:t>IOC</w:t>
        <w:tab/>
        <w:t>International Olympic</w:t>
      </w:r>
      <w:r>
        <w:rPr>
          <w:rFonts w:ascii="Palatino Linotype"/>
          <w:spacing w:val="-23"/>
        </w:rPr>
        <w:t> </w:t>
      </w:r>
      <w:r>
        <w:rPr>
          <w:rFonts w:ascii="Palatino Linotype"/>
        </w:rPr>
        <w:t>Committee</w:t>
      </w:r>
    </w:p>
    <w:p>
      <w:pPr>
        <w:pStyle w:val="BodyText"/>
        <w:tabs>
          <w:tab w:pos="2210" w:val="left" w:leader="none"/>
        </w:tabs>
        <w:spacing w:before="108"/>
        <w:ind w:left="119"/>
        <w:rPr>
          <w:rFonts w:ascii="Palatino Linotype"/>
        </w:rPr>
      </w:pPr>
      <w:r>
        <w:rPr>
          <w:rFonts w:ascii="Palatino Linotype"/>
        </w:rPr>
        <w:t>ISL</w:t>
        <w:tab/>
        <w:t>International Standard for</w:t>
      </w:r>
      <w:r>
        <w:rPr>
          <w:rFonts w:ascii="Palatino Linotype"/>
          <w:spacing w:val="-33"/>
        </w:rPr>
        <w:t> </w:t>
      </w:r>
      <w:r>
        <w:rPr>
          <w:rFonts w:ascii="Palatino Linotype"/>
        </w:rPr>
        <w:t>Laboratories</w:t>
      </w:r>
    </w:p>
    <w:p>
      <w:pPr>
        <w:pStyle w:val="BodyText"/>
        <w:tabs>
          <w:tab w:pos="2210" w:val="left" w:leader="none"/>
        </w:tabs>
        <w:spacing w:before="113"/>
        <w:ind w:left="119"/>
        <w:rPr>
          <w:rFonts w:ascii="Palatino Linotype"/>
        </w:rPr>
      </w:pPr>
      <w:r>
        <w:rPr>
          <w:rFonts w:ascii="Palatino Linotype"/>
        </w:rPr>
        <w:t>KGB</w:t>
        <w:tab/>
        <w:t>Committee for State</w:t>
      </w:r>
      <w:r>
        <w:rPr>
          <w:rFonts w:ascii="Palatino Linotype"/>
          <w:spacing w:val="-16"/>
        </w:rPr>
        <w:t> </w:t>
      </w:r>
      <w:r>
        <w:rPr>
          <w:rFonts w:ascii="Palatino Linotype"/>
        </w:rPr>
        <w:t>Security</w:t>
      </w:r>
    </w:p>
    <w:p>
      <w:pPr>
        <w:pStyle w:val="BodyText"/>
        <w:tabs>
          <w:tab w:pos="2209" w:val="left" w:leader="none"/>
        </w:tabs>
        <w:spacing w:before="108"/>
        <w:ind w:left="119"/>
        <w:rPr>
          <w:rFonts w:ascii="Palatino Linotype"/>
        </w:rPr>
      </w:pPr>
      <w:r>
        <w:rPr>
          <w:rFonts w:ascii="Palatino Linotype"/>
        </w:rPr>
        <w:t>LIMS</w:t>
        <w:tab/>
        <w:t>Laboratory Information Management</w:t>
      </w:r>
      <w:r>
        <w:rPr>
          <w:rFonts w:ascii="Palatino Linotype"/>
          <w:spacing w:val="-33"/>
        </w:rPr>
        <w:t> </w:t>
      </w:r>
      <w:r>
        <w:rPr>
          <w:rFonts w:ascii="Palatino Linotype"/>
        </w:rPr>
        <w:t>System</w:t>
      </w:r>
    </w:p>
    <w:p>
      <w:pPr>
        <w:spacing w:after="0"/>
        <w:rPr>
          <w:rFonts w:ascii="Palatino Linotype"/>
        </w:rPr>
        <w:sectPr>
          <w:type w:val="continuous"/>
          <w:pgSz w:w="12240" w:h="15840"/>
          <w:pgMar w:top="1500" w:bottom="280" w:left="1700" w:right="1680"/>
        </w:sectPr>
      </w:pPr>
    </w:p>
    <w:p>
      <w:pPr>
        <w:pStyle w:val="BodyText"/>
        <w:tabs>
          <w:tab w:pos="2208" w:val="left" w:leader="none"/>
        </w:tabs>
        <w:spacing w:line="319" w:lineRule="auto"/>
        <w:ind w:left="119" w:right="2681"/>
        <w:rPr>
          <w:rFonts w:ascii="Palatino Linotype"/>
        </w:rPr>
      </w:pPr>
      <w:r>
        <w:rPr>
          <w:rFonts w:ascii="Palatino Linotype"/>
        </w:rPr>
        <w:t>London</w:t>
      </w:r>
      <w:r>
        <w:rPr>
          <w:rFonts w:ascii="Palatino Linotype"/>
          <w:spacing w:val="-3"/>
        </w:rPr>
        <w:t> </w:t>
      </w:r>
      <w:r>
        <w:rPr>
          <w:rFonts w:ascii="Palatino Linotype"/>
        </w:rPr>
        <w:t>Games</w:t>
        <w:tab/>
        <w:t>London Games of the</w:t>
      </w:r>
      <w:r>
        <w:rPr>
          <w:rFonts w:ascii="Palatino Linotype"/>
          <w:spacing w:val="-17"/>
        </w:rPr>
        <w:t> </w:t>
      </w:r>
      <w:r>
        <w:rPr>
          <w:rFonts w:ascii="Palatino Linotype"/>
        </w:rPr>
        <w:t>XXX</w:t>
      </w:r>
      <w:r>
        <w:rPr>
          <w:rFonts w:ascii="Palatino Linotype"/>
          <w:spacing w:val="-6"/>
        </w:rPr>
        <w:t> </w:t>
      </w:r>
      <w:r>
        <w:rPr>
          <w:rFonts w:ascii="Palatino Linotype"/>
        </w:rPr>
        <w:t>Olympiad</w:t>
      </w:r>
      <w:r>
        <w:rPr>
          <w:rFonts w:ascii="Palatino Linotype"/>
          <w:spacing w:val="-1"/>
          <w:w w:val="99"/>
        </w:rPr>
        <w:t> </w:t>
      </w:r>
      <w:r>
        <w:rPr>
          <w:rFonts w:ascii="Palatino Linotype"/>
        </w:rPr>
        <w:t>MofS</w:t>
        <w:tab/>
        <w:t>Ministry of</w:t>
      </w:r>
      <w:r>
        <w:rPr>
          <w:rFonts w:ascii="Palatino Linotype"/>
          <w:spacing w:val="-12"/>
        </w:rPr>
        <w:t> </w:t>
      </w:r>
      <w:r>
        <w:rPr>
          <w:rFonts w:ascii="Palatino Linotype"/>
        </w:rPr>
        <w:t>Sport</w:t>
      </w:r>
    </w:p>
    <w:p>
      <w:pPr>
        <w:pStyle w:val="BodyText"/>
        <w:tabs>
          <w:tab w:pos="2210" w:val="left" w:leader="none"/>
        </w:tabs>
        <w:spacing w:before="6"/>
        <w:ind w:left="119"/>
        <w:rPr>
          <w:rFonts w:ascii="Palatino Linotype"/>
        </w:rPr>
      </w:pPr>
      <w:r>
        <w:rPr>
          <w:rFonts w:ascii="Palatino Linotype"/>
        </w:rPr>
        <w:t>NOC</w:t>
        <w:tab/>
        <w:t>National Olympic</w:t>
      </w:r>
      <w:r>
        <w:rPr>
          <w:rFonts w:ascii="Palatino Linotype"/>
          <w:spacing w:val="-20"/>
        </w:rPr>
        <w:t> </w:t>
      </w:r>
      <w:r>
        <w:rPr>
          <w:rFonts w:ascii="Palatino Linotype"/>
        </w:rPr>
        <w:t>Committee</w:t>
      </w:r>
    </w:p>
    <w:p>
      <w:pPr>
        <w:pStyle w:val="BodyText"/>
        <w:tabs>
          <w:tab w:pos="2210" w:val="left" w:leader="none"/>
        </w:tabs>
        <w:spacing w:before="108"/>
        <w:ind w:left="119"/>
        <w:rPr>
          <w:rFonts w:ascii="Palatino Linotype"/>
        </w:rPr>
      </w:pPr>
      <w:r>
        <w:rPr>
          <w:rFonts w:ascii="Palatino Linotype"/>
        </w:rPr>
        <w:t>PED</w:t>
        <w:tab/>
        <w:t>Performance Enhancing</w:t>
      </w:r>
      <w:r>
        <w:rPr>
          <w:rFonts w:ascii="Palatino Linotype"/>
          <w:spacing w:val="-10"/>
        </w:rPr>
        <w:t> </w:t>
      </w:r>
      <w:r>
        <w:rPr>
          <w:rFonts w:ascii="Palatino Linotype"/>
        </w:rPr>
        <w:t>Drug</w:t>
      </w:r>
    </w:p>
    <w:p>
      <w:pPr>
        <w:pStyle w:val="BodyText"/>
        <w:tabs>
          <w:tab w:pos="2210" w:val="left" w:leader="none"/>
        </w:tabs>
        <w:spacing w:line="321" w:lineRule="auto" w:before="113"/>
        <w:ind w:left="119" w:right="2536"/>
        <w:rPr>
          <w:rFonts w:ascii="Palatino Linotype"/>
        </w:rPr>
      </w:pPr>
      <w:r>
        <w:rPr>
          <w:rFonts w:ascii="Palatino Linotype"/>
        </w:rPr>
        <w:t>ROC</w:t>
        <w:tab/>
        <w:t>Russian</w:t>
      </w:r>
      <w:r>
        <w:rPr>
          <w:rFonts w:ascii="Palatino Linotype"/>
          <w:spacing w:val="-8"/>
        </w:rPr>
        <w:t> </w:t>
      </w:r>
      <w:r>
        <w:rPr>
          <w:rFonts w:ascii="Palatino Linotype"/>
        </w:rPr>
        <w:t>Olympic</w:t>
      </w:r>
      <w:r>
        <w:rPr>
          <w:rFonts w:ascii="Palatino Linotype"/>
          <w:spacing w:val="-8"/>
        </w:rPr>
        <w:t> </w:t>
      </w:r>
      <w:r>
        <w:rPr>
          <w:rFonts w:ascii="Palatino Linotype"/>
        </w:rPr>
        <w:t>Committee</w:t>
      </w:r>
      <w:r>
        <w:rPr>
          <w:rFonts w:ascii="Palatino Linotype"/>
          <w:spacing w:val="-1"/>
          <w:w w:val="99"/>
        </w:rPr>
        <w:t> </w:t>
      </w:r>
      <w:r>
        <w:rPr>
          <w:rFonts w:ascii="Palatino Linotype"/>
        </w:rPr>
        <w:t>RUSADA</w:t>
        <w:tab/>
        <w:t>Russian National</w:t>
      </w:r>
      <w:r>
        <w:rPr>
          <w:rFonts w:ascii="Palatino Linotype"/>
          <w:spacing w:val="-18"/>
        </w:rPr>
        <w:t> </w:t>
      </w:r>
      <w:r>
        <w:rPr>
          <w:rFonts w:ascii="Palatino Linotype"/>
        </w:rPr>
        <w:t>Anti-Doping</w:t>
      </w:r>
      <w:r>
        <w:rPr>
          <w:rFonts w:ascii="Palatino Linotype"/>
          <w:spacing w:val="-8"/>
        </w:rPr>
        <w:t> </w:t>
      </w:r>
      <w:r>
        <w:rPr>
          <w:rFonts w:ascii="Palatino Linotype"/>
        </w:rPr>
        <w:t>Agency</w:t>
      </w:r>
      <w:r>
        <w:rPr>
          <w:rFonts w:ascii="Palatino Linotype"/>
          <w:spacing w:val="-1"/>
          <w:w w:val="99"/>
        </w:rPr>
        <w:t> </w:t>
      </w:r>
      <w:r>
        <w:rPr>
          <w:rFonts w:ascii="Palatino Linotype"/>
        </w:rPr>
        <w:t>SG</w:t>
        <w:tab/>
        <w:t>Specific</w:t>
      </w:r>
      <w:r>
        <w:rPr>
          <w:rFonts w:ascii="Palatino Linotype"/>
          <w:spacing w:val="-8"/>
        </w:rPr>
        <w:t> </w:t>
      </w:r>
      <w:r>
        <w:rPr>
          <w:rFonts w:ascii="Palatino Linotype"/>
        </w:rPr>
        <w:t>Gravity</w:t>
      </w:r>
    </w:p>
    <w:p>
      <w:pPr>
        <w:pStyle w:val="BodyText"/>
        <w:tabs>
          <w:tab w:pos="2210" w:val="left" w:leader="none"/>
        </w:tabs>
        <w:spacing w:line="319" w:lineRule="auto"/>
        <w:ind w:left="119" w:right="3596"/>
        <w:rPr>
          <w:rFonts w:ascii="Palatino Linotype"/>
        </w:rPr>
      </w:pPr>
      <w:r>
        <w:rPr>
          <w:rFonts w:ascii="Palatino Linotype"/>
        </w:rPr>
        <w:t>Sochi</w:t>
      </w:r>
      <w:r>
        <w:rPr>
          <w:rFonts w:ascii="Palatino Linotype"/>
          <w:spacing w:val="-4"/>
        </w:rPr>
        <w:t> </w:t>
      </w:r>
      <w:r>
        <w:rPr>
          <w:rFonts w:ascii="Palatino Linotype"/>
        </w:rPr>
        <w:t>Games</w:t>
        <w:tab/>
        <w:t>XXII Olympic</w:t>
      </w:r>
      <w:r>
        <w:rPr>
          <w:rFonts w:ascii="Palatino Linotype"/>
          <w:spacing w:val="-12"/>
        </w:rPr>
        <w:t> </w:t>
      </w:r>
      <w:r>
        <w:rPr>
          <w:rFonts w:ascii="Palatino Linotype"/>
        </w:rPr>
        <w:t>Winter</w:t>
      </w:r>
      <w:r>
        <w:rPr>
          <w:rFonts w:ascii="Palatino Linotype"/>
          <w:spacing w:val="-8"/>
        </w:rPr>
        <w:t> </w:t>
      </w:r>
      <w:r>
        <w:rPr>
          <w:rFonts w:ascii="Palatino Linotype"/>
        </w:rPr>
        <w:t>Games</w:t>
      </w:r>
      <w:r>
        <w:rPr>
          <w:rFonts w:ascii="Palatino Linotype"/>
          <w:spacing w:val="-1"/>
          <w:w w:val="99"/>
        </w:rPr>
        <w:t> </w:t>
      </w:r>
      <w:r>
        <w:rPr>
          <w:rFonts w:ascii="Palatino Linotype"/>
        </w:rPr>
        <w:t>TUE</w:t>
        <w:tab/>
        <w:t>Therapeutic Use</w:t>
      </w:r>
      <w:r>
        <w:rPr>
          <w:rFonts w:ascii="Palatino Linotype"/>
          <w:spacing w:val="-23"/>
        </w:rPr>
        <w:t> </w:t>
      </w:r>
      <w:r>
        <w:rPr>
          <w:rFonts w:ascii="Palatino Linotype"/>
        </w:rPr>
        <w:t>Exemption</w:t>
      </w:r>
    </w:p>
    <w:p>
      <w:pPr>
        <w:pStyle w:val="BodyText"/>
        <w:tabs>
          <w:tab w:pos="2209" w:val="left" w:leader="none"/>
        </w:tabs>
        <w:spacing w:line="319" w:lineRule="auto" w:before="6"/>
        <w:ind w:left="2210" w:right="107" w:hanging="2092"/>
        <w:rPr>
          <w:rFonts w:ascii="Palatino Linotype"/>
        </w:rPr>
      </w:pPr>
      <w:r>
        <w:rPr>
          <w:rFonts w:ascii="Palatino Linotype"/>
        </w:rPr>
        <w:t>VNIIFK</w:t>
        <w:tab/>
        <w:t>Russian  Federal  Research  Center  of  Physical </w:t>
      </w:r>
      <w:r>
        <w:rPr>
          <w:rFonts w:ascii="Palatino Linotype"/>
          <w:spacing w:val="46"/>
        </w:rPr>
        <w:t> </w:t>
      </w:r>
      <w:r>
        <w:rPr>
          <w:rFonts w:ascii="Palatino Linotype"/>
        </w:rPr>
        <w:t>Culture </w:t>
      </w:r>
      <w:r>
        <w:rPr>
          <w:rFonts w:ascii="Palatino Linotype"/>
          <w:spacing w:val="8"/>
        </w:rPr>
        <w:t> </w:t>
      </w:r>
      <w:r>
        <w:rPr>
          <w:rFonts w:ascii="Palatino Linotype"/>
        </w:rPr>
        <w:t>and</w:t>
      </w:r>
      <w:r>
        <w:rPr>
          <w:rFonts w:ascii="Palatino Linotype"/>
          <w:spacing w:val="-1"/>
          <w:w w:val="99"/>
        </w:rPr>
        <w:t> </w:t>
      </w:r>
      <w:r>
        <w:rPr>
          <w:rFonts w:ascii="Palatino Linotype"/>
        </w:rPr>
        <w:t>Sport</w:t>
      </w:r>
    </w:p>
    <w:p>
      <w:pPr>
        <w:pStyle w:val="BodyText"/>
        <w:tabs>
          <w:tab w:pos="2209" w:val="left" w:leader="none"/>
        </w:tabs>
        <w:spacing w:before="6"/>
        <w:ind w:left="119"/>
        <w:rPr>
          <w:rFonts w:ascii="Palatino Linotype"/>
        </w:rPr>
      </w:pPr>
      <w:r>
        <w:rPr>
          <w:rFonts w:ascii="Palatino Linotype"/>
        </w:rPr>
        <w:t>WADA</w:t>
        <w:tab/>
        <w:t>World Anti-Doping</w:t>
      </w:r>
      <w:r>
        <w:rPr>
          <w:rFonts w:ascii="Palatino Linotype"/>
          <w:spacing w:val="-14"/>
        </w:rPr>
        <w:t> </w:t>
      </w:r>
      <w:r>
        <w:rPr>
          <w:rFonts w:ascii="Palatino Linotype"/>
        </w:rPr>
        <w:t>Agency</w:t>
      </w:r>
    </w:p>
    <w:p>
      <w:pPr>
        <w:spacing w:after="0"/>
        <w:rPr>
          <w:rFonts w:ascii="Palatino Linotype"/>
        </w:rPr>
        <w:sectPr>
          <w:pgSz w:w="12240" w:h="15840"/>
          <w:pgMar w:header="0" w:footer="702" w:top="1440" w:bottom="900" w:left="1700" w:right="1680"/>
        </w:sectPr>
      </w:pPr>
    </w:p>
    <w:p>
      <w:pPr>
        <w:pStyle w:val="BodyText"/>
        <w:spacing w:before="9"/>
        <w:rPr>
          <w:rFonts w:ascii="Palatino Linotype"/>
          <w:sz w:val="21"/>
        </w:rPr>
      </w:pPr>
    </w:p>
    <w:p>
      <w:pPr>
        <w:pStyle w:val="Heading1"/>
        <w:spacing w:before="24"/>
        <w:jc w:val="left"/>
        <w:rPr>
          <w:rFonts w:ascii="Times New Roman"/>
        </w:rPr>
      </w:pPr>
      <w:bookmarkStart w:name="_TOC_250006" w:id="2"/>
      <w:r>
        <w:rPr>
          <w:rFonts w:ascii="Times New Roman"/>
          <w:w w:val="110"/>
        </w:rPr>
        <w:t>Chapter 1: Executive Summary of this</w:t>
      </w:r>
      <w:r>
        <w:rPr>
          <w:rFonts w:ascii="Times New Roman"/>
          <w:spacing w:val="76"/>
          <w:w w:val="110"/>
        </w:rPr>
        <w:t> </w:t>
      </w:r>
      <w:bookmarkEnd w:id="2"/>
      <w:r>
        <w:rPr>
          <w:rFonts w:ascii="Times New Roman"/>
          <w:w w:val="110"/>
        </w:rPr>
        <w:t>Report</w:t>
      </w:r>
    </w:p>
    <w:p>
      <w:pPr>
        <w:pStyle w:val="BodyText"/>
        <w:rPr>
          <w:sz w:val="28"/>
        </w:rPr>
      </w:pPr>
    </w:p>
    <w:p>
      <w:pPr>
        <w:pStyle w:val="BodyText"/>
        <w:rPr>
          <w:sz w:val="28"/>
        </w:rPr>
      </w:pPr>
    </w:p>
    <w:p>
      <w:pPr>
        <w:pStyle w:val="BodyText"/>
        <w:rPr>
          <w:sz w:val="28"/>
        </w:rPr>
      </w:pPr>
    </w:p>
    <w:p>
      <w:pPr>
        <w:pStyle w:val="BodyText"/>
        <w:spacing w:before="204"/>
        <w:ind w:left="119"/>
      </w:pPr>
      <w:r>
        <w:rPr>
          <w:w w:val="115"/>
        </w:rPr>
        <w:t>Key Findings</w:t>
      </w:r>
    </w:p>
    <w:p>
      <w:pPr>
        <w:pStyle w:val="BodyText"/>
      </w:pPr>
    </w:p>
    <w:p>
      <w:pPr>
        <w:pStyle w:val="ListParagraph"/>
        <w:numPr>
          <w:ilvl w:val="2"/>
          <w:numId w:val="6"/>
        </w:numPr>
        <w:tabs>
          <w:tab w:pos="840" w:val="left" w:leader="none"/>
        </w:tabs>
        <w:spacing w:line="429" w:lineRule="auto" w:before="1" w:after="0"/>
        <w:ind w:left="839" w:right="108" w:hanging="360"/>
        <w:jc w:val="both"/>
        <w:rPr>
          <w:rFonts w:ascii="Palatino Linotype"/>
          <w:sz w:val="24"/>
        </w:rPr>
      </w:pPr>
      <w:r>
        <w:rPr>
          <w:rFonts w:ascii="Palatino Linotype"/>
          <w:sz w:val="24"/>
        </w:rPr>
        <w:t>The Moscow Laboratory operated, for the protection of doped Russian athletes, within a State-dictated failsafe system, described in the report as the Disappearing Positive</w:t>
      </w:r>
      <w:r>
        <w:rPr>
          <w:rFonts w:ascii="Palatino Linotype"/>
          <w:spacing w:val="-23"/>
          <w:sz w:val="24"/>
        </w:rPr>
        <w:t> </w:t>
      </w:r>
      <w:r>
        <w:rPr>
          <w:rFonts w:ascii="Palatino Linotype"/>
          <w:sz w:val="24"/>
        </w:rPr>
        <w:t>Methodology.</w:t>
      </w:r>
    </w:p>
    <w:p>
      <w:pPr>
        <w:pStyle w:val="BodyText"/>
        <w:rPr>
          <w:rFonts w:ascii="Palatino Linotype"/>
        </w:rPr>
      </w:pPr>
    </w:p>
    <w:p>
      <w:pPr>
        <w:pStyle w:val="BodyText"/>
        <w:spacing w:before="10"/>
        <w:rPr>
          <w:rFonts w:ascii="Palatino Linotype"/>
          <w:sz w:val="18"/>
        </w:rPr>
      </w:pPr>
    </w:p>
    <w:p>
      <w:pPr>
        <w:pStyle w:val="ListParagraph"/>
        <w:numPr>
          <w:ilvl w:val="2"/>
          <w:numId w:val="6"/>
        </w:numPr>
        <w:tabs>
          <w:tab w:pos="840" w:val="left" w:leader="none"/>
        </w:tabs>
        <w:spacing w:line="429" w:lineRule="auto" w:before="0" w:after="0"/>
        <w:ind w:left="839" w:right="109" w:hanging="360"/>
        <w:jc w:val="both"/>
        <w:rPr>
          <w:rFonts w:ascii="Palatino Linotype"/>
          <w:sz w:val="24"/>
        </w:rPr>
      </w:pPr>
      <w:r>
        <w:rPr>
          <w:rFonts w:ascii="Palatino Linotype"/>
          <w:sz w:val="24"/>
        </w:rPr>
        <w:t>The Sochi Laboratory operated a unique sample swapping methodology  to enable doped Russian athletes to compete at the</w:t>
      </w:r>
      <w:r>
        <w:rPr>
          <w:rFonts w:ascii="Palatino Linotype"/>
          <w:spacing w:val="-17"/>
          <w:sz w:val="24"/>
        </w:rPr>
        <w:t> </w:t>
      </w:r>
      <w:r>
        <w:rPr>
          <w:rFonts w:ascii="Palatino Linotype"/>
          <w:sz w:val="24"/>
        </w:rPr>
        <w:t>Games.</w:t>
      </w:r>
    </w:p>
    <w:p>
      <w:pPr>
        <w:pStyle w:val="BodyText"/>
        <w:rPr>
          <w:rFonts w:ascii="Palatino Linotype"/>
        </w:rPr>
      </w:pPr>
    </w:p>
    <w:p>
      <w:pPr>
        <w:pStyle w:val="BodyText"/>
        <w:spacing w:before="10"/>
        <w:rPr>
          <w:rFonts w:ascii="Palatino Linotype"/>
          <w:sz w:val="18"/>
        </w:rPr>
      </w:pPr>
    </w:p>
    <w:p>
      <w:pPr>
        <w:pStyle w:val="ListParagraph"/>
        <w:numPr>
          <w:ilvl w:val="2"/>
          <w:numId w:val="6"/>
        </w:numPr>
        <w:tabs>
          <w:tab w:pos="841" w:val="left" w:leader="none"/>
        </w:tabs>
        <w:spacing w:line="427" w:lineRule="auto" w:before="0" w:after="0"/>
        <w:ind w:left="839" w:right="108" w:hanging="360"/>
        <w:jc w:val="both"/>
        <w:rPr>
          <w:rFonts w:ascii="Palatino Linotype"/>
          <w:sz w:val="24"/>
        </w:rPr>
      </w:pPr>
      <w:r>
        <w:rPr>
          <w:rFonts w:ascii="Palatino Linotype"/>
          <w:sz w:val="24"/>
        </w:rPr>
        <w:t>The Ministry of Sport directed, controlled and oversaw the manipulation of athlete's analytical results or sample swapping, with the active participation and assistance of the FSB, CSP, and both Moscow and Sochi Laboratories.</w:t>
      </w:r>
    </w:p>
    <w:p>
      <w:pPr>
        <w:pStyle w:val="BodyText"/>
        <w:rPr>
          <w:rFonts w:ascii="Palatino Linotype"/>
        </w:rPr>
      </w:pPr>
    </w:p>
    <w:p>
      <w:pPr>
        <w:pStyle w:val="BodyText"/>
        <w:rPr>
          <w:rFonts w:ascii="Palatino Linotype"/>
          <w:sz w:val="19"/>
        </w:rPr>
      </w:pPr>
    </w:p>
    <w:p>
      <w:pPr>
        <w:pStyle w:val="BodyText"/>
        <w:ind w:left="119"/>
        <w:rPr>
          <w:rFonts w:ascii="Palatino Linotype"/>
        </w:rPr>
      </w:pPr>
      <w:r>
        <w:rPr>
          <w:rFonts w:ascii="Palatino Linotype"/>
        </w:rPr>
        <w:t>This Report will explain these key findings.</w:t>
      </w:r>
    </w:p>
    <w:p>
      <w:pPr>
        <w:pStyle w:val="BodyText"/>
        <w:rPr>
          <w:rFonts w:ascii="Palatino Linotype"/>
        </w:rPr>
      </w:pPr>
    </w:p>
    <w:p>
      <w:pPr>
        <w:pStyle w:val="BodyText"/>
        <w:rPr>
          <w:rFonts w:ascii="Palatino Linotype"/>
        </w:rPr>
      </w:pPr>
    </w:p>
    <w:p>
      <w:pPr>
        <w:pStyle w:val="BodyText"/>
        <w:spacing w:before="10"/>
        <w:rPr>
          <w:rFonts w:ascii="Palatino Linotype"/>
          <w:sz w:val="30"/>
        </w:rPr>
      </w:pPr>
    </w:p>
    <w:p>
      <w:pPr>
        <w:pStyle w:val="BodyText"/>
        <w:ind w:left="119"/>
      </w:pPr>
      <w:r>
        <w:rPr>
          <w:w w:val="115"/>
        </w:rPr>
        <w:t>1.1 Introduction</w:t>
      </w:r>
    </w:p>
    <w:p>
      <w:pPr>
        <w:pStyle w:val="BodyText"/>
      </w:pPr>
    </w:p>
    <w:p>
      <w:pPr>
        <w:pStyle w:val="BodyText"/>
        <w:spacing w:before="1"/>
        <w:rPr>
          <w:sz w:val="25"/>
        </w:rPr>
      </w:pPr>
    </w:p>
    <w:p>
      <w:pPr>
        <w:pStyle w:val="BodyText"/>
        <w:spacing w:line="429" w:lineRule="auto"/>
        <w:ind w:left="119"/>
        <w:rPr>
          <w:rFonts w:ascii="Palatino Linotype"/>
        </w:rPr>
      </w:pPr>
      <w:r>
        <w:rPr>
          <w:rFonts w:ascii="Palatino Linotype"/>
        </w:rPr>
        <w:t>This Chapter contains a summary of the principal outcomes of the work by the independent   investigation   conducted   under   the   direction   of   and   by </w:t>
      </w:r>
      <w:r>
        <w:rPr>
          <w:rFonts w:ascii="Palatino Linotype"/>
          <w:spacing w:val="51"/>
        </w:rPr>
        <w:t> </w:t>
      </w:r>
      <w:r>
        <w:rPr>
          <w:rFonts w:ascii="Palatino Linotype"/>
        </w:rPr>
        <w:t>the</w:t>
      </w:r>
    </w:p>
    <w:p>
      <w:pPr>
        <w:spacing w:after="0" w:line="429" w:lineRule="auto"/>
        <w:rPr>
          <w:rFonts w:ascii="Palatino Linotype"/>
        </w:rPr>
        <w:sectPr>
          <w:pgSz w:w="12240" w:h="15840"/>
          <w:pgMar w:header="0" w:footer="702" w:top="1500" w:bottom="900" w:left="1700" w:right="1680"/>
        </w:sectPr>
      </w:pPr>
    </w:p>
    <w:p>
      <w:pPr>
        <w:pStyle w:val="BodyText"/>
        <w:spacing w:line="504" w:lineRule="auto" w:before="16"/>
        <w:ind w:left="119" w:right="110"/>
        <w:jc w:val="both"/>
      </w:pPr>
      <w:r>
        <w:rPr>
          <w:w w:val="110"/>
        </w:rPr>
        <w:t>Independent Person (IP) appointed by the World Anti-Doping Agency President. Background and detailed findings of the investigation are provided</w:t>
      </w:r>
      <w:r>
        <w:rPr>
          <w:spacing w:val="66"/>
          <w:w w:val="110"/>
        </w:rPr>
        <w:t> </w:t>
      </w:r>
      <w:r>
        <w:rPr>
          <w:w w:val="110"/>
        </w:rPr>
        <w:t>in subsequent chapters of this Report.</w:t>
      </w:r>
    </w:p>
    <w:p>
      <w:pPr>
        <w:pStyle w:val="BodyText"/>
      </w:pPr>
    </w:p>
    <w:p>
      <w:pPr>
        <w:pStyle w:val="BodyText"/>
        <w:spacing w:before="8"/>
      </w:pPr>
    </w:p>
    <w:p>
      <w:pPr>
        <w:pStyle w:val="BodyText"/>
        <w:spacing w:line="439" w:lineRule="auto"/>
        <w:ind w:left="119" w:right="100"/>
        <w:jc w:val="both"/>
      </w:pPr>
      <w:r>
        <w:rPr>
          <w:w w:val="110"/>
        </w:rPr>
        <w:t>In the first part of May the American newsmagazine 60 Minutes and then </w:t>
      </w:r>
      <w:r>
        <w:rPr>
          <w:rFonts w:ascii="Palatino Linotype"/>
          <w:i/>
          <w:w w:val="110"/>
        </w:rPr>
        <w:t>The </w:t>
      </w:r>
      <w:r>
        <w:rPr>
          <w:rFonts w:ascii="Palatino Linotype"/>
          <w:i/>
          <w:w w:val="110"/>
        </w:rPr>
        <w:t>New</w:t>
      </w:r>
      <w:r>
        <w:rPr>
          <w:rFonts w:ascii="Palatino Linotype"/>
          <w:i/>
          <w:spacing w:val="-11"/>
          <w:w w:val="110"/>
        </w:rPr>
        <w:t> </w:t>
      </w:r>
      <w:r>
        <w:rPr>
          <w:rFonts w:ascii="Palatino Linotype"/>
          <w:i/>
          <w:w w:val="110"/>
        </w:rPr>
        <w:t>York</w:t>
      </w:r>
      <w:r>
        <w:rPr>
          <w:rFonts w:ascii="Palatino Linotype"/>
          <w:i/>
          <w:spacing w:val="-14"/>
          <w:w w:val="110"/>
        </w:rPr>
        <w:t> </w:t>
      </w:r>
      <w:r>
        <w:rPr>
          <w:rFonts w:ascii="Palatino Linotype"/>
          <w:i/>
          <w:w w:val="110"/>
        </w:rPr>
        <w:t>Times</w:t>
      </w:r>
      <w:r>
        <w:rPr>
          <w:rFonts w:ascii="Palatino Linotype"/>
          <w:i/>
          <w:spacing w:val="-11"/>
          <w:w w:val="110"/>
        </w:rPr>
        <w:t> </w:t>
      </w:r>
      <w:r>
        <w:rPr>
          <w:w w:val="110"/>
        </w:rPr>
        <w:t>reported</w:t>
      </w:r>
      <w:r>
        <w:rPr>
          <w:spacing w:val="-12"/>
          <w:w w:val="110"/>
        </w:rPr>
        <w:t> </w:t>
      </w:r>
      <w:r>
        <w:rPr>
          <w:w w:val="110"/>
        </w:rPr>
        <w:t>stories</w:t>
      </w:r>
      <w:r>
        <w:rPr>
          <w:spacing w:val="-15"/>
          <w:w w:val="110"/>
        </w:rPr>
        <w:t> </w:t>
      </w:r>
      <w:r>
        <w:rPr>
          <w:w w:val="110"/>
        </w:rPr>
        <w:t>regarding</w:t>
      </w:r>
      <w:r>
        <w:rPr>
          <w:spacing w:val="-12"/>
          <w:w w:val="110"/>
        </w:rPr>
        <w:t> </w:t>
      </w:r>
      <w:r>
        <w:rPr>
          <w:w w:val="110"/>
        </w:rPr>
        <w:t>state</w:t>
      </w:r>
      <w:r>
        <w:rPr>
          <w:spacing w:val="-13"/>
          <w:w w:val="110"/>
        </w:rPr>
        <w:t> </w:t>
      </w:r>
      <w:r>
        <w:rPr>
          <w:w w:val="110"/>
        </w:rPr>
        <w:t>run</w:t>
      </w:r>
      <w:r>
        <w:rPr>
          <w:spacing w:val="-13"/>
          <w:w w:val="110"/>
        </w:rPr>
        <w:t> </w:t>
      </w:r>
      <w:r>
        <w:rPr>
          <w:w w:val="110"/>
        </w:rPr>
        <w:t>doping</w:t>
      </w:r>
      <w:r>
        <w:rPr>
          <w:spacing w:val="-13"/>
          <w:w w:val="110"/>
        </w:rPr>
        <w:t> </w:t>
      </w:r>
      <w:r>
        <w:rPr>
          <w:w w:val="110"/>
        </w:rPr>
        <w:t>during</w:t>
      </w:r>
      <w:r>
        <w:rPr>
          <w:spacing w:val="-13"/>
          <w:w w:val="110"/>
        </w:rPr>
        <w:t> </w:t>
      </w:r>
      <w:r>
        <w:rPr>
          <w:w w:val="110"/>
        </w:rPr>
        <w:t>the</w:t>
      </w:r>
      <w:r>
        <w:rPr>
          <w:spacing w:val="-11"/>
          <w:w w:val="110"/>
        </w:rPr>
        <w:t> </w:t>
      </w:r>
      <w:r>
        <w:rPr>
          <w:w w:val="110"/>
        </w:rPr>
        <w:t>Sochi</w:t>
      </w:r>
      <w:r>
        <w:rPr>
          <w:spacing w:val="-10"/>
          <w:w w:val="110"/>
        </w:rPr>
        <w:t> </w:t>
      </w:r>
      <w:r>
        <w:rPr>
          <w:w w:val="110"/>
        </w:rPr>
        <w:t>2014 Winter  Olympic  Games  (the  "Sochi  Games").    The  primary  source  of</w:t>
      </w:r>
      <w:r>
        <w:rPr>
          <w:spacing w:val="7"/>
          <w:w w:val="110"/>
        </w:rPr>
        <w:t> </w:t>
      </w:r>
      <w:r>
        <w:rPr>
          <w:w w:val="110"/>
        </w:rPr>
        <w:t>these</w:t>
      </w:r>
    </w:p>
    <w:p>
      <w:pPr>
        <w:pStyle w:val="BodyText"/>
        <w:spacing w:line="504" w:lineRule="auto" w:before="84"/>
        <w:ind w:left="119" w:right="110"/>
        <w:jc w:val="both"/>
      </w:pPr>
      <w:r>
        <w:rPr>
          <w:w w:val="110"/>
        </w:rPr>
        <w:t>allegations was the former Director of the Moscow and Sochi doping control laboratories, who ran the testing for thousands of Russian and international Olympians.</w:t>
      </w:r>
    </w:p>
    <w:p>
      <w:pPr>
        <w:pStyle w:val="BodyText"/>
      </w:pPr>
    </w:p>
    <w:p>
      <w:pPr>
        <w:pStyle w:val="BodyText"/>
        <w:spacing w:before="2"/>
        <w:rPr>
          <w:sz w:val="27"/>
        </w:rPr>
      </w:pPr>
    </w:p>
    <w:p>
      <w:pPr>
        <w:pStyle w:val="BodyText"/>
        <w:spacing w:line="504" w:lineRule="auto"/>
        <w:ind w:left="119" w:right="106"/>
        <w:jc w:val="both"/>
      </w:pPr>
      <w:r>
        <w:rPr>
          <w:w w:val="110"/>
        </w:rPr>
        <w:t>This</w:t>
      </w:r>
      <w:r>
        <w:rPr>
          <w:spacing w:val="-7"/>
          <w:w w:val="110"/>
        </w:rPr>
        <w:t> </w:t>
      </w:r>
      <w:r>
        <w:rPr>
          <w:w w:val="110"/>
        </w:rPr>
        <w:t>Executive</w:t>
      </w:r>
      <w:r>
        <w:rPr>
          <w:spacing w:val="-2"/>
          <w:w w:val="110"/>
        </w:rPr>
        <w:t> </w:t>
      </w:r>
      <w:r>
        <w:rPr>
          <w:w w:val="110"/>
        </w:rPr>
        <w:t>Summary</w:t>
      </w:r>
      <w:r>
        <w:rPr>
          <w:spacing w:val="-4"/>
          <w:w w:val="110"/>
        </w:rPr>
        <w:t> </w:t>
      </w:r>
      <w:r>
        <w:rPr>
          <w:w w:val="110"/>
        </w:rPr>
        <w:t>describes</w:t>
      </w:r>
      <w:r>
        <w:rPr>
          <w:spacing w:val="-5"/>
          <w:w w:val="110"/>
        </w:rPr>
        <w:t> </w:t>
      </w:r>
      <w:r>
        <w:rPr>
          <w:w w:val="110"/>
        </w:rPr>
        <w:t>the</w:t>
      </w:r>
      <w:r>
        <w:rPr>
          <w:spacing w:val="-4"/>
          <w:w w:val="110"/>
        </w:rPr>
        <w:t> </w:t>
      </w:r>
      <w:r>
        <w:rPr>
          <w:w w:val="110"/>
        </w:rPr>
        <w:t>formation</w:t>
      </w:r>
      <w:r>
        <w:rPr>
          <w:spacing w:val="-2"/>
          <w:w w:val="110"/>
        </w:rPr>
        <w:t> </w:t>
      </w:r>
      <w:r>
        <w:rPr>
          <w:w w:val="110"/>
        </w:rPr>
        <w:t>of</w:t>
      </w:r>
      <w:r>
        <w:rPr>
          <w:spacing w:val="-4"/>
          <w:w w:val="110"/>
        </w:rPr>
        <w:t> </w:t>
      </w:r>
      <w:r>
        <w:rPr>
          <w:w w:val="110"/>
        </w:rPr>
        <w:t>the</w:t>
      </w:r>
      <w:r>
        <w:rPr>
          <w:spacing w:val="-7"/>
          <w:w w:val="110"/>
        </w:rPr>
        <w:t> </w:t>
      </w:r>
      <w:r>
        <w:rPr>
          <w:w w:val="110"/>
        </w:rPr>
        <w:t>IP</w:t>
      </w:r>
      <w:r>
        <w:rPr>
          <w:spacing w:val="-4"/>
          <w:w w:val="110"/>
        </w:rPr>
        <w:t> </w:t>
      </w:r>
      <w:r>
        <w:rPr>
          <w:w w:val="110"/>
        </w:rPr>
        <w:t>and</w:t>
      </w:r>
      <w:r>
        <w:rPr>
          <w:spacing w:val="-4"/>
          <w:w w:val="110"/>
        </w:rPr>
        <w:t> </w:t>
      </w:r>
      <w:r>
        <w:rPr>
          <w:w w:val="110"/>
        </w:rPr>
        <w:t>sets</w:t>
      </w:r>
      <w:r>
        <w:rPr>
          <w:spacing w:val="-4"/>
          <w:w w:val="110"/>
        </w:rPr>
        <w:t> </w:t>
      </w:r>
      <w:r>
        <w:rPr>
          <w:w w:val="110"/>
        </w:rPr>
        <w:t>out</w:t>
      </w:r>
      <w:r>
        <w:rPr>
          <w:spacing w:val="-7"/>
          <w:w w:val="110"/>
        </w:rPr>
        <w:t> </w:t>
      </w:r>
      <w:r>
        <w:rPr>
          <w:w w:val="110"/>
        </w:rPr>
        <w:t>the</w:t>
      </w:r>
      <w:r>
        <w:rPr>
          <w:spacing w:val="-4"/>
          <w:w w:val="110"/>
        </w:rPr>
        <w:t> </w:t>
      </w:r>
      <w:r>
        <w:rPr>
          <w:w w:val="110"/>
        </w:rPr>
        <w:t>Terms of Reference and a brief summary of the investigative methodology used. The balance of the summary sets out the IP's key investigative findings in respect of the allegations of doping</w:t>
      </w:r>
      <w:r>
        <w:rPr>
          <w:spacing w:val="-2"/>
          <w:w w:val="110"/>
        </w:rPr>
        <w:t> </w:t>
      </w:r>
      <w:r>
        <w:rPr>
          <w:w w:val="110"/>
        </w:rPr>
        <w:t>misconduct.</w:t>
      </w:r>
    </w:p>
    <w:p>
      <w:pPr>
        <w:pStyle w:val="BodyText"/>
      </w:pPr>
    </w:p>
    <w:p>
      <w:pPr>
        <w:pStyle w:val="BodyText"/>
        <w:spacing w:before="7"/>
        <w:rPr>
          <w:sz w:val="35"/>
        </w:rPr>
      </w:pPr>
    </w:p>
    <w:p>
      <w:pPr>
        <w:pStyle w:val="ListParagraph"/>
        <w:numPr>
          <w:ilvl w:val="1"/>
          <w:numId w:val="7"/>
        </w:numPr>
        <w:tabs>
          <w:tab w:pos="527" w:val="left" w:leader="none"/>
        </w:tabs>
        <w:spacing w:line="292" w:lineRule="exact" w:before="0" w:after="0"/>
        <w:ind w:left="119" w:right="110" w:firstLine="0"/>
        <w:jc w:val="both"/>
        <w:rPr>
          <w:rFonts w:ascii="Palatino Linotype"/>
          <w:sz w:val="24"/>
        </w:rPr>
      </w:pPr>
      <w:r>
        <w:rPr>
          <w:rFonts w:ascii="Palatino Linotype"/>
          <w:w w:val="105"/>
          <w:sz w:val="24"/>
        </w:rPr>
        <w:t>Creation and Terms of Reference of the Independent Investigation into Sochi and Other</w:t>
      </w:r>
      <w:r>
        <w:rPr>
          <w:rFonts w:ascii="Palatino Linotype"/>
          <w:spacing w:val="-35"/>
          <w:w w:val="105"/>
          <w:sz w:val="24"/>
        </w:rPr>
        <w:t> </w:t>
      </w:r>
      <w:r>
        <w:rPr>
          <w:rFonts w:ascii="Palatino Linotype"/>
          <w:w w:val="105"/>
          <w:sz w:val="24"/>
        </w:rPr>
        <w:t>Allegations</w:t>
      </w:r>
    </w:p>
    <w:p>
      <w:pPr>
        <w:pStyle w:val="BodyText"/>
        <w:rPr>
          <w:rFonts w:ascii="Palatino Linotype"/>
        </w:rPr>
      </w:pPr>
    </w:p>
    <w:p>
      <w:pPr>
        <w:pStyle w:val="BodyText"/>
        <w:spacing w:before="6"/>
        <w:rPr>
          <w:rFonts w:ascii="Palatino Linotype"/>
          <w:sz w:val="19"/>
        </w:rPr>
      </w:pPr>
    </w:p>
    <w:p>
      <w:pPr>
        <w:pStyle w:val="BodyText"/>
        <w:spacing w:line="504" w:lineRule="auto"/>
        <w:ind w:left="119" w:right="107"/>
        <w:jc w:val="both"/>
      </w:pPr>
      <w:r>
        <w:rPr>
          <w:w w:val="110"/>
        </w:rPr>
        <w:t>On 19 May 2016 the World Anti-Doping Agency (WADA) announced the appointment of an Independent Person (IP) to conduct an investigation of the allegations made by the former Director of the Moscow Laboratory, Dr. Grigory Rodchenkov ("Dr. Rodchenkov").  Professor Richard H. McLaren, law professor</w:t>
      </w:r>
    </w:p>
    <w:p>
      <w:pPr>
        <w:spacing w:after="0" w:line="504" w:lineRule="auto"/>
        <w:jc w:val="both"/>
        <w:sectPr>
          <w:pgSz w:w="12240" w:h="15840"/>
          <w:pgMar w:header="0" w:footer="702" w:top="1440" w:bottom="900" w:left="1700" w:right="1680"/>
        </w:sectPr>
      </w:pPr>
    </w:p>
    <w:p>
      <w:pPr>
        <w:pStyle w:val="BodyText"/>
        <w:spacing w:line="504" w:lineRule="auto" w:before="16"/>
        <w:ind w:left="119" w:right="107"/>
        <w:jc w:val="both"/>
      </w:pPr>
      <w:r>
        <w:rPr>
          <w:w w:val="110"/>
        </w:rPr>
        <w:t>at Western University, Canada; CEO of McLaren Global Sport Solutions Inc.; counsel to McKenzie Lake Lawyers, LLP and long standing CAS arbitrator, was appointed as the IP to investigate.</w:t>
      </w:r>
    </w:p>
    <w:p>
      <w:pPr>
        <w:pStyle w:val="BodyText"/>
      </w:pPr>
    </w:p>
    <w:p>
      <w:pPr>
        <w:pStyle w:val="BodyText"/>
        <w:spacing w:before="2"/>
        <w:rPr>
          <w:sz w:val="27"/>
        </w:rPr>
      </w:pPr>
    </w:p>
    <w:p>
      <w:pPr>
        <w:pStyle w:val="BodyText"/>
        <w:spacing w:line="504" w:lineRule="auto"/>
        <w:ind w:left="119" w:right="106"/>
        <w:jc w:val="both"/>
      </w:pPr>
      <w:r>
        <w:rPr>
          <w:w w:val="110"/>
        </w:rPr>
        <w:t>Professor Richard McLaren was previously a member of WADA's three-person Independent Commission (IC), led by founding WADA President Richard W. Pound QC, which exposed widespread doping in Russian Athletics. Working independently as the IP, Professor Richard McLaren was supported by a multi- disciplinary team. He has significant experience in the world of international sports law, including having conducted many  international  investigations</w:t>
      </w:r>
      <w:r>
        <w:rPr>
          <w:spacing w:val="66"/>
          <w:w w:val="110"/>
        </w:rPr>
        <w:t> </w:t>
      </w:r>
      <w:r>
        <w:rPr>
          <w:w w:val="110"/>
        </w:rPr>
        <w:t>related to doping and</w:t>
      </w:r>
      <w:r>
        <w:rPr>
          <w:spacing w:val="63"/>
          <w:w w:val="110"/>
        </w:rPr>
        <w:t> </w:t>
      </w:r>
      <w:r>
        <w:rPr>
          <w:w w:val="110"/>
        </w:rPr>
        <w:t>corruption.</w:t>
      </w:r>
    </w:p>
    <w:p>
      <w:pPr>
        <w:pStyle w:val="BodyText"/>
      </w:pPr>
    </w:p>
    <w:p>
      <w:pPr>
        <w:pStyle w:val="BodyText"/>
        <w:spacing w:before="7"/>
      </w:pPr>
    </w:p>
    <w:p>
      <w:pPr>
        <w:spacing w:before="0"/>
        <w:ind w:left="119" w:right="0" w:firstLine="0"/>
        <w:jc w:val="both"/>
        <w:rPr>
          <w:rFonts w:ascii="Palatino Linotype"/>
          <w:i/>
          <w:sz w:val="24"/>
        </w:rPr>
      </w:pPr>
      <w:r>
        <w:rPr>
          <w:rFonts w:ascii="Palatino Linotype"/>
          <w:i/>
          <w:sz w:val="24"/>
        </w:rPr>
        <w:t>"The Terms of Reference directed the IP to establish whether:</w:t>
      </w:r>
    </w:p>
    <w:p>
      <w:pPr>
        <w:pStyle w:val="BodyText"/>
        <w:rPr>
          <w:rFonts w:ascii="Palatino Linotype"/>
          <w:i/>
        </w:rPr>
      </w:pPr>
    </w:p>
    <w:p>
      <w:pPr>
        <w:pStyle w:val="BodyText"/>
        <w:rPr>
          <w:rFonts w:ascii="Palatino Linotype"/>
          <w:i/>
        </w:rPr>
      </w:pPr>
    </w:p>
    <w:p>
      <w:pPr>
        <w:pStyle w:val="ListParagraph"/>
        <w:numPr>
          <w:ilvl w:val="2"/>
          <w:numId w:val="7"/>
        </w:numPr>
        <w:tabs>
          <w:tab w:pos="840" w:val="left" w:leader="none"/>
        </w:tabs>
        <w:spacing w:line="429" w:lineRule="auto" w:before="185" w:after="0"/>
        <w:ind w:left="839" w:right="108" w:hanging="360"/>
        <w:jc w:val="both"/>
        <w:rPr>
          <w:rFonts w:ascii="Palatino Linotype"/>
          <w:i/>
          <w:sz w:val="24"/>
        </w:rPr>
      </w:pPr>
      <w:r>
        <w:rPr>
          <w:rFonts w:ascii="Palatino Linotype"/>
          <w:i/>
          <w:sz w:val="24"/>
        </w:rPr>
        <w:t>There has been manipulation of the doping control process during the Sochi </w:t>
      </w:r>
      <w:r>
        <w:rPr>
          <w:rFonts w:ascii="Palatino Linotype"/>
          <w:i/>
          <w:sz w:val="24"/>
        </w:rPr>
        <w:t>Games, including but not limited to, acts of tampering with the samples within the Sochi</w:t>
      </w:r>
      <w:r>
        <w:rPr>
          <w:rFonts w:ascii="Palatino Linotype"/>
          <w:i/>
          <w:spacing w:val="-16"/>
          <w:sz w:val="24"/>
        </w:rPr>
        <w:t> </w:t>
      </w:r>
      <w:r>
        <w:rPr>
          <w:rFonts w:ascii="Palatino Linotype"/>
          <w:i/>
          <w:sz w:val="24"/>
        </w:rPr>
        <w:t>Laboratory.</w:t>
      </w:r>
    </w:p>
    <w:p>
      <w:pPr>
        <w:pStyle w:val="ListParagraph"/>
        <w:numPr>
          <w:ilvl w:val="2"/>
          <w:numId w:val="7"/>
        </w:numPr>
        <w:tabs>
          <w:tab w:pos="841" w:val="left" w:leader="none"/>
        </w:tabs>
        <w:spacing w:line="320" w:lineRule="exact" w:before="0" w:after="0"/>
        <w:ind w:left="840" w:right="0" w:hanging="361"/>
        <w:jc w:val="left"/>
        <w:rPr>
          <w:rFonts w:ascii="Palatino Linotype"/>
          <w:i/>
          <w:sz w:val="24"/>
        </w:rPr>
      </w:pPr>
      <w:r>
        <w:rPr>
          <w:rFonts w:ascii="Palatino Linotype"/>
          <w:i/>
          <w:sz w:val="24"/>
        </w:rPr>
        <w:t>Identify the modus operandi and those involved in such</w:t>
      </w:r>
      <w:r>
        <w:rPr>
          <w:rFonts w:ascii="Palatino Linotype"/>
          <w:i/>
          <w:spacing w:val="-31"/>
          <w:sz w:val="24"/>
        </w:rPr>
        <w:t> </w:t>
      </w:r>
      <w:r>
        <w:rPr>
          <w:rFonts w:ascii="Palatino Linotype"/>
          <w:i/>
          <w:sz w:val="24"/>
        </w:rPr>
        <w:t>manipulation.</w:t>
      </w:r>
    </w:p>
    <w:p>
      <w:pPr>
        <w:pStyle w:val="BodyText"/>
        <w:rPr>
          <w:rFonts w:ascii="Palatino Linotype"/>
          <w:i/>
          <w:sz w:val="19"/>
        </w:rPr>
      </w:pPr>
    </w:p>
    <w:p>
      <w:pPr>
        <w:pStyle w:val="ListParagraph"/>
        <w:numPr>
          <w:ilvl w:val="2"/>
          <w:numId w:val="7"/>
        </w:numPr>
        <w:tabs>
          <w:tab w:pos="840" w:val="left" w:leader="none"/>
        </w:tabs>
        <w:spacing w:line="429" w:lineRule="auto" w:before="0" w:after="0"/>
        <w:ind w:left="839" w:right="108" w:hanging="360"/>
        <w:jc w:val="both"/>
        <w:rPr>
          <w:rFonts w:ascii="Palatino Linotype"/>
          <w:i/>
          <w:sz w:val="24"/>
        </w:rPr>
      </w:pPr>
      <w:r>
        <w:rPr>
          <w:rFonts w:ascii="Palatino Linotype"/>
          <w:i/>
          <w:sz w:val="24"/>
        </w:rPr>
        <w:t>Identify any athlete that might have benefited from those alleged manipulations to </w:t>
      </w:r>
      <w:r>
        <w:rPr>
          <w:rFonts w:ascii="Palatino Linotype"/>
          <w:i/>
          <w:sz w:val="24"/>
        </w:rPr>
        <w:t>conceal positive doping</w:t>
      </w:r>
      <w:r>
        <w:rPr>
          <w:rFonts w:ascii="Palatino Linotype"/>
          <w:i/>
          <w:spacing w:val="-21"/>
          <w:sz w:val="24"/>
        </w:rPr>
        <w:t> </w:t>
      </w:r>
      <w:r>
        <w:rPr>
          <w:rFonts w:ascii="Palatino Linotype"/>
          <w:i/>
          <w:sz w:val="24"/>
        </w:rPr>
        <w:t>tests.</w:t>
      </w:r>
    </w:p>
    <w:p>
      <w:pPr>
        <w:pStyle w:val="ListParagraph"/>
        <w:numPr>
          <w:ilvl w:val="2"/>
          <w:numId w:val="7"/>
        </w:numPr>
        <w:tabs>
          <w:tab w:pos="841" w:val="left" w:leader="none"/>
        </w:tabs>
        <w:spacing w:line="429" w:lineRule="auto" w:before="0" w:after="0"/>
        <w:ind w:left="839" w:right="110" w:hanging="360"/>
        <w:jc w:val="both"/>
        <w:rPr>
          <w:rFonts w:ascii="Palatino Linotype"/>
          <w:i/>
          <w:sz w:val="24"/>
        </w:rPr>
      </w:pPr>
      <w:r>
        <w:rPr>
          <w:rFonts w:ascii="Palatino Linotype"/>
          <w:i/>
          <w:sz w:val="24"/>
        </w:rPr>
        <w:t>Identify if this Modus Operandi was also happening within Moscow Laboratory </w:t>
      </w:r>
      <w:r>
        <w:rPr>
          <w:rFonts w:ascii="Palatino Linotype"/>
          <w:i/>
          <w:sz w:val="24"/>
        </w:rPr>
        <w:t>outside the period of the Sochi</w:t>
      </w:r>
      <w:r>
        <w:rPr>
          <w:rFonts w:ascii="Palatino Linotype"/>
          <w:i/>
          <w:spacing w:val="-28"/>
          <w:sz w:val="24"/>
        </w:rPr>
        <w:t> </w:t>
      </w:r>
      <w:r>
        <w:rPr>
          <w:rFonts w:ascii="Palatino Linotype"/>
          <w:i/>
          <w:sz w:val="24"/>
        </w:rPr>
        <w:t>Games.</w:t>
      </w:r>
    </w:p>
    <w:p>
      <w:pPr>
        <w:spacing w:after="0" w:line="429" w:lineRule="auto"/>
        <w:jc w:val="both"/>
        <w:rPr>
          <w:rFonts w:ascii="Palatino Linotype"/>
          <w:sz w:val="24"/>
        </w:rPr>
        <w:sectPr>
          <w:pgSz w:w="12240" w:h="15840"/>
          <w:pgMar w:header="0" w:footer="702" w:top="1440" w:bottom="900" w:left="1700" w:right="1680"/>
        </w:sectPr>
      </w:pPr>
    </w:p>
    <w:p>
      <w:pPr>
        <w:pStyle w:val="ListParagraph"/>
        <w:numPr>
          <w:ilvl w:val="2"/>
          <w:numId w:val="7"/>
        </w:numPr>
        <w:tabs>
          <w:tab w:pos="841" w:val="left" w:leader="none"/>
        </w:tabs>
        <w:spacing w:line="312" w:lineRule="exact" w:before="0" w:after="0"/>
        <w:ind w:left="840" w:right="0" w:hanging="361"/>
        <w:jc w:val="left"/>
        <w:rPr>
          <w:rFonts w:ascii="Palatino Linotype"/>
          <w:i/>
          <w:sz w:val="24"/>
        </w:rPr>
      </w:pPr>
      <w:r>
        <w:rPr>
          <w:rFonts w:ascii="Palatino Linotype"/>
          <w:i/>
          <w:sz w:val="24"/>
        </w:rPr>
        <w:t>Determine</w:t>
      </w:r>
      <w:r>
        <w:rPr>
          <w:rFonts w:ascii="Palatino Linotype"/>
          <w:i/>
          <w:spacing w:val="-6"/>
          <w:sz w:val="24"/>
        </w:rPr>
        <w:t> </w:t>
      </w:r>
      <w:r>
        <w:rPr>
          <w:rFonts w:ascii="Palatino Linotype"/>
          <w:i/>
          <w:sz w:val="24"/>
        </w:rPr>
        <w:t>other</w:t>
      </w:r>
      <w:r>
        <w:rPr>
          <w:rFonts w:ascii="Palatino Linotype"/>
          <w:i/>
          <w:spacing w:val="-8"/>
          <w:sz w:val="24"/>
        </w:rPr>
        <w:t> </w:t>
      </w:r>
      <w:r>
        <w:rPr>
          <w:rFonts w:ascii="Palatino Linotype"/>
          <w:i/>
          <w:sz w:val="24"/>
        </w:rPr>
        <w:t>evidence</w:t>
      </w:r>
      <w:r>
        <w:rPr>
          <w:rFonts w:ascii="Palatino Linotype"/>
          <w:i/>
          <w:spacing w:val="-4"/>
          <w:sz w:val="24"/>
        </w:rPr>
        <w:t> </w:t>
      </w:r>
      <w:r>
        <w:rPr>
          <w:rFonts w:ascii="Palatino Linotype"/>
          <w:i/>
          <w:sz w:val="24"/>
        </w:rPr>
        <w:t>or</w:t>
      </w:r>
      <w:r>
        <w:rPr>
          <w:rFonts w:ascii="Palatino Linotype"/>
          <w:i/>
          <w:spacing w:val="-6"/>
          <w:sz w:val="24"/>
        </w:rPr>
        <w:t> </w:t>
      </w:r>
      <w:r>
        <w:rPr>
          <w:rFonts w:ascii="Palatino Linotype"/>
          <w:i/>
          <w:sz w:val="24"/>
        </w:rPr>
        <w:t>information</w:t>
      </w:r>
      <w:r>
        <w:rPr>
          <w:rFonts w:ascii="Palatino Linotype"/>
          <w:i/>
          <w:spacing w:val="-7"/>
          <w:sz w:val="24"/>
        </w:rPr>
        <w:t> </w:t>
      </w:r>
      <w:r>
        <w:rPr>
          <w:rFonts w:ascii="Palatino Linotype"/>
          <w:i/>
          <w:sz w:val="24"/>
        </w:rPr>
        <w:t>held</w:t>
      </w:r>
      <w:r>
        <w:rPr>
          <w:rFonts w:ascii="Palatino Linotype"/>
          <w:i/>
          <w:spacing w:val="-6"/>
          <w:sz w:val="24"/>
        </w:rPr>
        <w:t> </w:t>
      </w:r>
      <w:r>
        <w:rPr>
          <w:rFonts w:ascii="Palatino Linotype"/>
          <w:i/>
          <w:sz w:val="24"/>
        </w:rPr>
        <w:t>by</w:t>
      </w:r>
      <w:r>
        <w:rPr>
          <w:rFonts w:ascii="Palatino Linotype"/>
          <w:i/>
          <w:spacing w:val="-6"/>
          <w:sz w:val="24"/>
        </w:rPr>
        <w:t> </w:t>
      </w:r>
      <w:r>
        <w:rPr>
          <w:rFonts w:ascii="Palatino Linotype"/>
          <w:i/>
          <w:sz w:val="24"/>
        </w:rPr>
        <w:t>Grigory</w:t>
      </w:r>
      <w:r>
        <w:rPr>
          <w:rFonts w:ascii="Palatino Linotype"/>
          <w:i/>
          <w:spacing w:val="-6"/>
          <w:sz w:val="24"/>
        </w:rPr>
        <w:t> </w:t>
      </w:r>
      <w:r>
        <w:rPr>
          <w:rFonts w:ascii="Palatino Linotype"/>
          <w:i/>
          <w:sz w:val="24"/>
        </w:rPr>
        <w:t>Rodchenkov."</w:t>
      </w:r>
    </w:p>
    <w:p>
      <w:pPr>
        <w:pStyle w:val="BodyText"/>
        <w:rPr>
          <w:rFonts w:ascii="Palatino Linotype"/>
          <w:i/>
        </w:rPr>
      </w:pPr>
    </w:p>
    <w:p>
      <w:pPr>
        <w:pStyle w:val="BodyText"/>
        <w:rPr>
          <w:rFonts w:ascii="Palatino Linotype"/>
          <w:i/>
        </w:rPr>
      </w:pPr>
    </w:p>
    <w:p>
      <w:pPr>
        <w:pStyle w:val="BodyText"/>
        <w:spacing w:line="504" w:lineRule="auto" w:before="213"/>
        <w:ind w:left="119" w:right="109"/>
        <w:jc w:val="both"/>
      </w:pPr>
      <w:r>
        <w:rPr>
          <w:w w:val="110"/>
        </w:rPr>
        <w:t>Throughout the course of his mandate, the IP has personally reviewed all evidence gathered by his independent investigative team.</w:t>
      </w:r>
    </w:p>
    <w:p>
      <w:pPr>
        <w:pStyle w:val="BodyText"/>
      </w:pPr>
    </w:p>
    <w:p>
      <w:pPr>
        <w:pStyle w:val="BodyText"/>
        <w:spacing w:before="2"/>
        <w:rPr>
          <w:sz w:val="27"/>
        </w:rPr>
      </w:pPr>
    </w:p>
    <w:p>
      <w:pPr>
        <w:pStyle w:val="BodyText"/>
        <w:spacing w:line="504" w:lineRule="auto"/>
        <w:ind w:left="119" w:right="107"/>
        <w:jc w:val="both"/>
      </w:pPr>
      <w:r>
        <w:rPr>
          <w:w w:val="110"/>
        </w:rPr>
        <w:t>This Report was prepared from the collective work of the IP's investigative team. The investigative process is outlined and the many significant aspects that were studied and analyzed ultimately provide evidence for findings of fact.</w:t>
      </w:r>
    </w:p>
    <w:p>
      <w:pPr>
        <w:pStyle w:val="BodyText"/>
      </w:pPr>
    </w:p>
    <w:p>
      <w:pPr>
        <w:pStyle w:val="BodyText"/>
        <w:spacing w:before="2"/>
        <w:rPr>
          <w:sz w:val="27"/>
        </w:rPr>
      </w:pPr>
    </w:p>
    <w:p>
      <w:pPr>
        <w:pStyle w:val="BodyText"/>
        <w:spacing w:line="504" w:lineRule="auto"/>
        <w:ind w:left="119" w:right="108"/>
        <w:jc w:val="both"/>
      </w:pPr>
      <w:r>
        <w:rPr>
          <w:w w:val="110"/>
        </w:rPr>
        <w:t>The third paragraph of the IP's mandate, identifying athletes who benefited from the manipulations, has not been the primary focus of the IP's work. The IP investigative team has developed evidence identifying dozens of  Russian</w:t>
      </w:r>
      <w:r>
        <w:rPr>
          <w:spacing w:val="66"/>
          <w:w w:val="110"/>
        </w:rPr>
        <w:t> </w:t>
      </w:r>
      <w:r>
        <w:rPr>
          <w:w w:val="110"/>
        </w:rPr>
        <w:t>athletes who appear to have been involved in doping. The compressed timeline  of the IP investigation did not permit compilation of data to establish an anti- doping rule violation.</w:t>
      </w:r>
      <w:r>
        <w:rPr>
          <w:spacing w:val="66"/>
          <w:w w:val="110"/>
        </w:rPr>
        <w:t> </w:t>
      </w:r>
      <w:r>
        <w:rPr>
          <w:w w:val="110"/>
        </w:rPr>
        <w:t>The time limitation required the IP to deem this part of</w:t>
      </w:r>
      <w:r>
        <w:rPr>
          <w:spacing w:val="66"/>
          <w:w w:val="110"/>
        </w:rPr>
        <w:t> </w:t>
      </w:r>
      <w:r>
        <w:rPr>
          <w:w w:val="110"/>
        </w:rPr>
        <w:t>the mandate of lesser priority. The IP concentrated on the other four directives of the</w:t>
      </w:r>
      <w:r>
        <w:rPr>
          <w:spacing w:val="32"/>
          <w:w w:val="110"/>
        </w:rPr>
        <w:t> </w:t>
      </w:r>
      <w:r>
        <w:rPr>
          <w:w w:val="110"/>
        </w:rPr>
        <w:t>mandate.</w:t>
      </w:r>
    </w:p>
    <w:p>
      <w:pPr>
        <w:pStyle w:val="BodyText"/>
      </w:pPr>
    </w:p>
    <w:p>
      <w:pPr>
        <w:pStyle w:val="BodyText"/>
        <w:spacing w:before="2"/>
        <w:rPr>
          <w:sz w:val="27"/>
        </w:rPr>
      </w:pPr>
    </w:p>
    <w:p>
      <w:pPr>
        <w:pStyle w:val="BodyText"/>
        <w:spacing w:line="504" w:lineRule="auto"/>
        <w:ind w:left="119" w:right="108"/>
        <w:jc w:val="both"/>
      </w:pPr>
      <w:r>
        <w:rPr>
          <w:w w:val="110"/>
        </w:rPr>
        <w:t>The highly compressed timeline has meant that the IP investigative team has had to be selective in examining the large amount of data and information available</w:t>
      </w:r>
      <w:r>
        <w:rPr>
          <w:spacing w:val="66"/>
          <w:w w:val="110"/>
        </w:rPr>
        <w:t> </w:t>
      </w:r>
      <w:r>
        <w:rPr>
          <w:w w:val="110"/>
        </w:rPr>
        <w:t>to it. This Report reflects the work of the IP but it must be recognised that we have only skimmed the surface of the extensive data available.   In doing so,  </w:t>
      </w:r>
      <w:r>
        <w:rPr>
          <w:spacing w:val="12"/>
          <w:w w:val="110"/>
        </w:rPr>
        <w:t> </w:t>
      </w:r>
      <w:r>
        <w:rPr>
          <w:w w:val="110"/>
        </w:rPr>
        <w:t>the</w:t>
      </w:r>
    </w:p>
    <w:p>
      <w:pPr>
        <w:spacing w:after="0" w:line="504" w:lineRule="auto"/>
        <w:jc w:val="both"/>
        <w:sectPr>
          <w:pgSz w:w="12240" w:h="15840"/>
          <w:pgMar w:header="0" w:footer="702" w:top="1440" w:bottom="900" w:left="1700" w:right="1680"/>
        </w:sectPr>
      </w:pPr>
    </w:p>
    <w:p>
      <w:pPr>
        <w:pStyle w:val="BodyText"/>
        <w:spacing w:line="504" w:lineRule="auto" w:before="16"/>
        <w:ind w:left="119" w:right="108"/>
        <w:jc w:val="both"/>
      </w:pPr>
      <w:r>
        <w:rPr>
          <w:w w:val="110"/>
        </w:rPr>
        <w:t>IP has only made Findings in this Report that meet the standard of beyond a reasonable doubt. ] WADA must decide if the IP investigative team should continue its work in respect of reviewing all of its material in relation to specific athletes and examining the remaining material it has.</w:t>
      </w:r>
    </w:p>
    <w:p>
      <w:pPr>
        <w:pStyle w:val="BodyText"/>
      </w:pPr>
    </w:p>
    <w:p>
      <w:pPr>
        <w:pStyle w:val="BodyText"/>
      </w:pPr>
    </w:p>
    <w:p>
      <w:pPr>
        <w:pStyle w:val="ListParagraph"/>
        <w:numPr>
          <w:ilvl w:val="1"/>
          <w:numId w:val="7"/>
        </w:numPr>
        <w:tabs>
          <w:tab w:pos="479" w:val="left" w:leader="none"/>
        </w:tabs>
        <w:spacing w:line="240" w:lineRule="auto" w:before="204" w:after="0"/>
        <w:ind w:left="478" w:right="0" w:hanging="359"/>
        <w:jc w:val="both"/>
        <w:rPr>
          <w:rFonts w:ascii="Palatino Linotype"/>
          <w:sz w:val="24"/>
        </w:rPr>
      </w:pPr>
      <w:r>
        <w:rPr>
          <w:rFonts w:ascii="Palatino Linotype"/>
          <w:w w:val="105"/>
          <w:sz w:val="24"/>
        </w:rPr>
        <w:t>Summary</w:t>
      </w:r>
      <w:r>
        <w:rPr>
          <w:rFonts w:ascii="Palatino Linotype"/>
          <w:spacing w:val="-25"/>
          <w:w w:val="105"/>
          <w:sz w:val="24"/>
        </w:rPr>
        <w:t> </w:t>
      </w:r>
      <w:r>
        <w:rPr>
          <w:rFonts w:ascii="Palatino Linotype"/>
          <w:w w:val="105"/>
          <w:sz w:val="24"/>
        </w:rPr>
        <w:t>of</w:t>
      </w:r>
      <w:r>
        <w:rPr>
          <w:rFonts w:ascii="Palatino Linotype"/>
          <w:spacing w:val="-27"/>
          <w:w w:val="105"/>
          <w:sz w:val="24"/>
        </w:rPr>
        <w:t> </w:t>
      </w:r>
      <w:r>
        <w:rPr>
          <w:rFonts w:ascii="Palatino Linotype"/>
          <w:w w:val="105"/>
          <w:sz w:val="24"/>
        </w:rPr>
        <w:t>the</w:t>
      </w:r>
      <w:r>
        <w:rPr>
          <w:rFonts w:ascii="Palatino Linotype"/>
          <w:spacing w:val="-26"/>
          <w:w w:val="105"/>
          <w:sz w:val="24"/>
        </w:rPr>
        <w:t> </w:t>
      </w:r>
      <w:r>
        <w:rPr>
          <w:rFonts w:ascii="Palatino Linotype"/>
          <w:w w:val="105"/>
          <w:sz w:val="24"/>
        </w:rPr>
        <w:t>Evidence</w:t>
      </w:r>
      <w:r>
        <w:rPr>
          <w:rFonts w:ascii="Palatino Linotype"/>
          <w:spacing w:val="-26"/>
          <w:w w:val="105"/>
          <w:sz w:val="24"/>
        </w:rPr>
        <w:t> </w:t>
      </w:r>
      <w:r>
        <w:rPr>
          <w:rFonts w:ascii="Palatino Linotype"/>
          <w:w w:val="105"/>
          <w:sz w:val="24"/>
        </w:rPr>
        <w:t>Gathering</w:t>
      </w:r>
      <w:r>
        <w:rPr>
          <w:rFonts w:ascii="Palatino Linotype"/>
          <w:spacing w:val="-28"/>
          <w:w w:val="105"/>
          <w:sz w:val="24"/>
        </w:rPr>
        <w:t> </w:t>
      </w:r>
      <w:r>
        <w:rPr>
          <w:rFonts w:ascii="Palatino Linotype"/>
          <w:w w:val="105"/>
          <w:sz w:val="24"/>
        </w:rPr>
        <w:t>Process</w:t>
      </w:r>
    </w:p>
    <w:p>
      <w:pPr>
        <w:pStyle w:val="BodyText"/>
        <w:rPr>
          <w:rFonts w:ascii="Palatino Linotype"/>
        </w:rPr>
      </w:pPr>
    </w:p>
    <w:p>
      <w:pPr>
        <w:pStyle w:val="BodyText"/>
        <w:spacing w:before="7"/>
        <w:rPr>
          <w:rFonts w:ascii="Palatino Linotype"/>
          <w:sz w:val="18"/>
        </w:rPr>
      </w:pPr>
    </w:p>
    <w:p>
      <w:pPr>
        <w:pStyle w:val="BodyText"/>
        <w:spacing w:line="504" w:lineRule="auto"/>
        <w:ind w:left="119" w:right="106"/>
        <w:jc w:val="both"/>
      </w:pPr>
      <w:r>
        <w:rPr>
          <w:w w:val="110"/>
        </w:rPr>
        <w:t>The IP was appointed to lead this investigation to ensure an unbiased and independent examination of the evidence and from which all stakeholders could have confidence in the reporting of careful, thorough and balanced assessment of proven facts. The IP relied and built upon the work previously done by the Independent Commission (IC).</w:t>
      </w:r>
    </w:p>
    <w:p>
      <w:pPr>
        <w:pStyle w:val="BodyText"/>
      </w:pPr>
    </w:p>
    <w:p>
      <w:pPr>
        <w:pStyle w:val="BodyText"/>
        <w:spacing w:before="2"/>
        <w:rPr>
          <w:sz w:val="27"/>
        </w:rPr>
      </w:pPr>
    </w:p>
    <w:p>
      <w:pPr>
        <w:pStyle w:val="BodyText"/>
        <w:spacing w:line="501" w:lineRule="auto"/>
        <w:ind w:left="119" w:right="108"/>
        <w:jc w:val="both"/>
      </w:pPr>
      <w:r>
        <w:rPr>
          <w:w w:val="110"/>
        </w:rPr>
        <w:t>The IP conducted a number of witness interviews and reviewed thousands of documents, employed cyber analysis, conducted cyber and forensic analysis of hard drives, urine sample collection bottles and laboratory analysis of individual athlete samples.</w:t>
      </w:r>
    </w:p>
    <w:p>
      <w:pPr>
        <w:pStyle w:val="BodyText"/>
      </w:pPr>
    </w:p>
    <w:p>
      <w:pPr>
        <w:pStyle w:val="BodyText"/>
        <w:spacing w:before="4"/>
        <w:rPr>
          <w:sz w:val="27"/>
        </w:rPr>
      </w:pPr>
    </w:p>
    <w:p>
      <w:pPr>
        <w:pStyle w:val="BodyText"/>
        <w:spacing w:line="504" w:lineRule="auto"/>
        <w:ind w:left="119" w:right="107"/>
        <w:jc w:val="both"/>
      </w:pPr>
      <w:r>
        <w:rPr>
          <w:w w:val="115"/>
        </w:rPr>
        <w:t>The</w:t>
      </w:r>
      <w:r>
        <w:rPr>
          <w:spacing w:val="-16"/>
          <w:w w:val="115"/>
        </w:rPr>
        <w:t> </w:t>
      </w:r>
      <w:r>
        <w:rPr>
          <w:w w:val="115"/>
        </w:rPr>
        <w:t>IP</w:t>
      </w:r>
      <w:r>
        <w:rPr>
          <w:spacing w:val="-14"/>
          <w:w w:val="115"/>
        </w:rPr>
        <w:t> </w:t>
      </w:r>
      <w:r>
        <w:rPr>
          <w:w w:val="115"/>
        </w:rPr>
        <w:t>has</w:t>
      </w:r>
      <w:r>
        <w:rPr>
          <w:spacing w:val="-15"/>
          <w:w w:val="115"/>
        </w:rPr>
        <w:t> </w:t>
      </w:r>
      <w:r>
        <w:rPr>
          <w:w w:val="115"/>
        </w:rPr>
        <w:t>gathered</w:t>
      </w:r>
      <w:r>
        <w:rPr>
          <w:spacing w:val="-17"/>
          <w:w w:val="115"/>
        </w:rPr>
        <w:t> </w:t>
      </w:r>
      <w:r>
        <w:rPr>
          <w:w w:val="115"/>
        </w:rPr>
        <w:t>and</w:t>
      </w:r>
      <w:r>
        <w:rPr>
          <w:spacing w:val="-14"/>
          <w:w w:val="115"/>
        </w:rPr>
        <w:t> </w:t>
      </w:r>
      <w:r>
        <w:rPr>
          <w:w w:val="115"/>
        </w:rPr>
        <w:t>reviewed</w:t>
      </w:r>
      <w:r>
        <w:rPr>
          <w:spacing w:val="-16"/>
          <w:w w:val="115"/>
        </w:rPr>
        <w:t> </w:t>
      </w:r>
      <w:r>
        <w:rPr>
          <w:w w:val="115"/>
        </w:rPr>
        <w:t>as</w:t>
      </w:r>
      <w:r>
        <w:rPr>
          <w:spacing w:val="-16"/>
          <w:w w:val="115"/>
        </w:rPr>
        <w:t> </w:t>
      </w:r>
      <w:r>
        <w:rPr>
          <w:w w:val="115"/>
        </w:rPr>
        <w:t>much</w:t>
      </w:r>
      <w:r>
        <w:rPr>
          <w:spacing w:val="-18"/>
          <w:w w:val="115"/>
        </w:rPr>
        <w:t> </w:t>
      </w:r>
      <w:r>
        <w:rPr>
          <w:w w:val="115"/>
        </w:rPr>
        <w:t>evidence</w:t>
      </w:r>
      <w:r>
        <w:rPr>
          <w:spacing w:val="-13"/>
          <w:w w:val="115"/>
        </w:rPr>
        <w:t> </w:t>
      </w:r>
      <w:r>
        <w:rPr>
          <w:w w:val="115"/>
        </w:rPr>
        <w:t>as</w:t>
      </w:r>
      <w:r>
        <w:rPr>
          <w:spacing w:val="-18"/>
          <w:w w:val="115"/>
        </w:rPr>
        <w:t> </w:t>
      </w:r>
      <w:r>
        <w:rPr>
          <w:w w:val="115"/>
        </w:rPr>
        <w:t>could</w:t>
      </w:r>
      <w:r>
        <w:rPr>
          <w:spacing w:val="-17"/>
          <w:w w:val="115"/>
        </w:rPr>
        <w:t> </w:t>
      </w:r>
      <w:r>
        <w:rPr>
          <w:w w:val="115"/>
        </w:rPr>
        <w:t>be</w:t>
      </w:r>
      <w:r>
        <w:rPr>
          <w:spacing w:val="-15"/>
          <w:w w:val="115"/>
        </w:rPr>
        <w:t> </w:t>
      </w:r>
      <w:r>
        <w:rPr>
          <w:w w:val="115"/>
        </w:rPr>
        <w:t>accessed</w:t>
      </w:r>
      <w:r>
        <w:rPr>
          <w:spacing w:val="-17"/>
          <w:w w:val="115"/>
        </w:rPr>
        <w:t> </w:t>
      </w:r>
      <w:r>
        <w:rPr>
          <w:w w:val="115"/>
        </w:rPr>
        <w:t>in</w:t>
      </w:r>
      <w:r>
        <w:rPr>
          <w:spacing w:val="-16"/>
          <w:w w:val="115"/>
        </w:rPr>
        <w:t> </w:t>
      </w:r>
      <w:r>
        <w:rPr>
          <w:w w:val="115"/>
        </w:rPr>
        <w:t>the limited 57 day time frame in which this Report was required to be completed. More evidence is becoming available by the day but a cut-off had to be implemented</w:t>
      </w:r>
      <w:r>
        <w:rPr>
          <w:spacing w:val="-28"/>
          <w:w w:val="115"/>
        </w:rPr>
        <w:t> </w:t>
      </w:r>
      <w:r>
        <w:rPr>
          <w:w w:val="115"/>
        </w:rPr>
        <w:t>in</w:t>
      </w:r>
      <w:r>
        <w:rPr>
          <w:spacing w:val="-28"/>
          <w:w w:val="115"/>
        </w:rPr>
        <w:t> </w:t>
      </w:r>
      <w:r>
        <w:rPr>
          <w:w w:val="115"/>
        </w:rPr>
        <w:t>order</w:t>
      </w:r>
      <w:r>
        <w:rPr>
          <w:spacing w:val="-26"/>
          <w:w w:val="115"/>
        </w:rPr>
        <w:t> </w:t>
      </w:r>
      <w:r>
        <w:rPr>
          <w:w w:val="115"/>
        </w:rPr>
        <w:t>to</w:t>
      </w:r>
      <w:r>
        <w:rPr>
          <w:spacing w:val="-26"/>
          <w:w w:val="115"/>
        </w:rPr>
        <w:t> </w:t>
      </w:r>
      <w:r>
        <w:rPr>
          <w:w w:val="115"/>
        </w:rPr>
        <w:t>prepare</w:t>
      </w:r>
      <w:r>
        <w:rPr>
          <w:spacing w:val="-28"/>
          <w:w w:val="115"/>
        </w:rPr>
        <w:t> </w:t>
      </w:r>
      <w:r>
        <w:rPr>
          <w:w w:val="115"/>
        </w:rPr>
        <w:t>the</w:t>
      </w:r>
      <w:r>
        <w:rPr>
          <w:spacing w:val="-28"/>
          <w:w w:val="115"/>
        </w:rPr>
        <w:t> </w:t>
      </w:r>
      <w:r>
        <w:rPr>
          <w:w w:val="115"/>
        </w:rPr>
        <w:t>Report.</w:t>
      </w:r>
    </w:p>
    <w:p>
      <w:pPr>
        <w:spacing w:after="0" w:line="504" w:lineRule="auto"/>
        <w:jc w:val="both"/>
        <w:sectPr>
          <w:pgSz w:w="12240" w:h="15840"/>
          <w:pgMar w:header="0" w:footer="702" w:top="1440" w:bottom="900" w:left="1700" w:right="1680"/>
        </w:sectPr>
      </w:pPr>
    </w:p>
    <w:p>
      <w:pPr>
        <w:pStyle w:val="BodyText"/>
        <w:spacing w:line="504" w:lineRule="auto" w:before="16"/>
        <w:ind w:left="119" w:right="107"/>
        <w:jc w:val="both"/>
      </w:pPr>
      <w:r>
        <w:rPr>
          <w:w w:val="110"/>
        </w:rPr>
        <w:t>This Report contains evidence that the IP considers to be established beyond a reasonable doubt. There is more data that needs to be further analysed but does not affect the factual findings in this Report.</w:t>
      </w:r>
    </w:p>
    <w:p>
      <w:pPr>
        <w:pStyle w:val="BodyText"/>
      </w:pPr>
    </w:p>
    <w:p>
      <w:pPr>
        <w:pStyle w:val="BodyText"/>
        <w:spacing w:before="2"/>
        <w:rPr>
          <w:sz w:val="27"/>
        </w:rPr>
      </w:pPr>
    </w:p>
    <w:p>
      <w:pPr>
        <w:pStyle w:val="BodyText"/>
        <w:spacing w:line="504" w:lineRule="auto"/>
        <w:ind w:left="119" w:right="107"/>
        <w:jc w:val="both"/>
      </w:pPr>
      <w:r>
        <w:rPr>
          <w:w w:val="110"/>
        </w:rPr>
        <w:t>The mandate was not limited to just the published allegations. The IP examined other evidence of what was transpiring in the Moscow Laboratory before and after the period of the Sochi Games. The scope of the IP's work to establish the cover up of doping included looking into and reporting on any other information or evidence that materialized throughout the course of the investigation.</w:t>
      </w:r>
    </w:p>
    <w:p>
      <w:pPr>
        <w:pStyle w:val="BodyText"/>
      </w:pPr>
    </w:p>
    <w:p>
      <w:pPr>
        <w:pStyle w:val="BodyText"/>
        <w:spacing w:before="6"/>
        <w:rPr>
          <w:sz w:val="27"/>
        </w:rPr>
      </w:pPr>
    </w:p>
    <w:p>
      <w:pPr>
        <w:pStyle w:val="BodyText"/>
        <w:spacing w:line="504" w:lineRule="auto" w:before="1"/>
        <w:ind w:left="119" w:right="105"/>
        <w:jc w:val="both"/>
      </w:pPr>
      <w:r>
        <w:rPr>
          <w:w w:val="110"/>
        </w:rPr>
        <w:t>The investigation has established the Findings set out in this Report beyond a reasonable doubt. The IP can confirm the general veracity of the published information concerning the sample swapping that went on at the Sochi Laboratory during the Sochi Games. The surprise result of the Sochi investigation was the revelation of the extent of State oversight and directed control of the Moscow Laboratory in processing, and covering up urine samples of</w:t>
      </w:r>
      <w:r>
        <w:rPr>
          <w:spacing w:val="-5"/>
          <w:w w:val="110"/>
        </w:rPr>
        <w:t> </w:t>
      </w:r>
      <w:r>
        <w:rPr>
          <w:w w:val="110"/>
        </w:rPr>
        <w:t>Russian</w:t>
      </w:r>
      <w:r>
        <w:rPr>
          <w:spacing w:val="-6"/>
          <w:w w:val="110"/>
        </w:rPr>
        <w:t> </w:t>
      </w:r>
      <w:r>
        <w:rPr>
          <w:w w:val="110"/>
        </w:rPr>
        <w:t>athletes</w:t>
      </w:r>
      <w:r>
        <w:rPr>
          <w:spacing w:val="-6"/>
          <w:w w:val="110"/>
        </w:rPr>
        <w:t> </w:t>
      </w:r>
      <w:r>
        <w:rPr>
          <w:w w:val="110"/>
        </w:rPr>
        <w:t>from</w:t>
      </w:r>
      <w:r>
        <w:rPr>
          <w:spacing w:val="-6"/>
          <w:w w:val="110"/>
        </w:rPr>
        <w:t> </w:t>
      </w:r>
      <w:r>
        <w:rPr>
          <w:w w:val="110"/>
        </w:rPr>
        <w:t>virtually</w:t>
      </w:r>
      <w:r>
        <w:rPr>
          <w:spacing w:val="-8"/>
          <w:w w:val="110"/>
        </w:rPr>
        <w:t> </w:t>
      </w:r>
      <w:r>
        <w:rPr>
          <w:w w:val="110"/>
        </w:rPr>
        <w:t>all</w:t>
      </w:r>
      <w:r>
        <w:rPr>
          <w:spacing w:val="-7"/>
          <w:w w:val="110"/>
        </w:rPr>
        <w:t> </w:t>
      </w:r>
      <w:r>
        <w:rPr>
          <w:w w:val="110"/>
        </w:rPr>
        <w:t>sports</w:t>
      </w:r>
      <w:r>
        <w:rPr>
          <w:spacing w:val="-5"/>
          <w:w w:val="110"/>
        </w:rPr>
        <w:t> </w:t>
      </w:r>
      <w:r>
        <w:rPr>
          <w:w w:val="110"/>
        </w:rPr>
        <w:t>before</w:t>
      </w:r>
      <w:r>
        <w:rPr>
          <w:spacing w:val="-7"/>
          <w:w w:val="110"/>
        </w:rPr>
        <w:t> </w:t>
      </w:r>
      <w:r>
        <w:rPr>
          <w:w w:val="110"/>
        </w:rPr>
        <w:t>and</w:t>
      </w:r>
      <w:r>
        <w:rPr>
          <w:spacing w:val="-7"/>
          <w:w w:val="110"/>
        </w:rPr>
        <w:t> </w:t>
      </w:r>
      <w:r>
        <w:rPr>
          <w:w w:val="110"/>
        </w:rPr>
        <w:t>after</w:t>
      </w:r>
      <w:r>
        <w:rPr>
          <w:spacing w:val="-5"/>
          <w:w w:val="110"/>
        </w:rPr>
        <w:t> </w:t>
      </w:r>
      <w:r>
        <w:rPr>
          <w:w w:val="110"/>
        </w:rPr>
        <w:t>the</w:t>
      </w:r>
      <w:r>
        <w:rPr>
          <w:spacing w:val="-9"/>
          <w:w w:val="110"/>
        </w:rPr>
        <w:t> </w:t>
      </w:r>
      <w:r>
        <w:rPr>
          <w:w w:val="110"/>
        </w:rPr>
        <w:t>Sochi</w:t>
      </w:r>
      <w:r>
        <w:rPr>
          <w:spacing w:val="-4"/>
          <w:w w:val="110"/>
        </w:rPr>
        <w:t> </w:t>
      </w:r>
      <w:r>
        <w:rPr>
          <w:w w:val="110"/>
        </w:rPr>
        <w:t>Games.</w:t>
      </w:r>
    </w:p>
    <w:p>
      <w:pPr>
        <w:pStyle w:val="BodyText"/>
      </w:pPr>
    </w:p>
    <w:p>
      <w:pPr>
        <w:pStyle w:val="BodyText"/>
        <w:spacing w:before="2"/>
        <w:rPr>
          <w:sz w:val="27"/>
        </w:rPr>
      </w:pPr>
    </w:p>
    <w:p>
      <w:pPr>
        <w:pStyle w:val="BodyText"/>
        <w:spacing w:line="504" w:lineRule="auto"/>
        <w:ind w:left="119" w:right="109"/>
        <w:jc w:val="both"/>
      </w:pPr>
      <w:r>
        <w:rPr>
          <w:w w:val="110"/>
        </w:rPr>
        <w:t>The IC exposed State involvement in the manipulation of the doping control program operated by Russian Anti-Doping Agency ("RUSADA") and within Russian Athletics. The IC Report detailed the in the field regime for doping athletes and the corruption surrounding it.  The outcomes of the IP add a   deeper</w:t>
      </w:r>
    </w:p>
    <w:p>
      <w:pPr>
        <w:spacing w:after="0" w:line="504" w:lineRule="auto"/>
        <w:jc w:val="both"/>
        <w:sectPr>
          <w:pgSz w:w="12240" w:h="15840"/>
          <w:pgMar w:header="0" w:footer="702" w:top="1440" w:bottom="900" w:left="1700" w:right="1680"/>
        </w:sectPr>
      </w:pPr>
    </w:p>
    <w:p>
      <w:pPr>
        <w:pStyle w:val="BodyText"/>
        <w:spacing w:line="504" w:lineRule="auto" w:before="16"/>
        <w:ind w:left="119" w:right="108"/>
        <w:jc w:val="both"/>
      </w:pPr>
      <w:r>
        <w:rPr>
          <w:w w:val="115"/>
        </w:rPr>
        <w:t>understanding to this scheme and show proof of State directed oversight and corruption of the entirety of the Moscow laboratory's analytical work.</w:t>
      </w:r>
    </w:p>
    <w:p>
      <w:pPr>
        <w:pStyle w:val="BodyText"/>
      </w:pPr>
    </w:p>
    <w:p>
      <w:pPr>
        <w:pStyle w:val="BodyText"/>
        <w:spacing w:before="2"/>
        <w:rPr>
          <w:sz w:val="27"/>
        </w:rPr>
      </w:pPr>
    </w:p>
    <w:p>
      <w:pPr>
        <w:pStyle w:val="BodyText"/>
        <w:spacing w:line="504" w:lineRule="auto"/>
        <w:ind w:left="119" w:right="107"/>
        <w:jc w:val="both"/>
      </w:pPr>
      <w:r>
        <w:rPr>
          <w:w w:val="110"/>
        </w:rPr>
        <w:t>The State implemented a simple failsafe strategy. If all the operational precautions to promote and permit doping by Russian athletes proved to have been ineffective for whatever reason, the laboratory provided a failsafe mechanism. The State had the ability to transform a positive analytical result into a negative one by ordering that the analytical process of the Moscow Laboratory be altered. The Ministry of Sport ("MofS"), RUSADA and the Russian Federal Security Service (the "FSB") were all involved in this operation.</w:t>
      </w:r>
    </w:p>
    <w:p>
      <w:pPr>
        <w:pStyle w:val="BodyText"/>
      </w:pPr>
    </w:p>
    <w:p>
      <w:pPr>
        <w:pStyle w:val="BodyText"/>
      </w:pPr>
    </w:p>
    <w:p>
      <w:pPr>
        <w:pStyle w:val="ListParagraph"/>
        <w:numPr>
          <w:ilvl w:val="1"/>
          <w:numId w:val="8"/>
        </w:numPr>
        <w:tabs>
          <w:tab w:pos="478" w:val="left" w:leader="none"/>
        </w:tabs>
        <w:spacing w:line="240" w:lineRule="auto" w:before="205" w:after="0"/>
        <w:ind w:left="477" w:right="0" w:hanging="358"/>
        <w:jc w:val="both"/>
        <w:rPr>
          <w:rFonts w:ascii="Palatino Linotype"/>
          <w:sz w:val="24"/>
        </w:rPr>
      </w:pPr>
      <w:r>
        <w:rPr>
          <w:rFonts w:ascii="Palatino Linotype"/>
          <w:w w:val="105"/>
          <w:sz w:val="24"/>
        </w:rPr>
        <w:t>Witnesses</w:t>
      </w:r>
    </w:p>
    <w:p>
      <w:pPr>
        <w:pStyle w:val="BodyText"/>
        <w:rPr>
          <w:rFonts w:ascii="Palatino Linotype"/>
        </w:rPr>
      </w:pPr>
    </w:p>
    <w:p>
      <w:pPr>
        <w:pStyle w:val="BodyText"/>
        <w:spacing w:before="11"/>
        <w:rPr>
          <w:rFonts w:ascii="Palatino Linotype"/>
          <w:sz w:val="18"/>
        </w:rPr>
      </w:pPr>
    </w:p>
    <w:p>
      <w:pPr>
        <w:pStyle w:val="BodyText"/>
        <w:spacing w:line="501" w:lineRule="auto"/>
        <w:ind w:left="119" w:right="107"/>
        <w:jc w:val="both"/>
      </w:pPr>
      <w:r>
        <w:rPr>
          <w:w w:val="110"/>
        </w:rPr>
        <w:t>Dr. Rodchenkov's public statements triggered the creation of the IP investigation. He cooperated with the investigation, agreeing to multiple interviews and providing thousands of documents electronically or in hard copy. The IP has concluded that in the context of the investigation he has been truthful with the IP (see Chapter 2). Vitaly Stepanov, a former employee of RUSADA did not participate in the investigation but the IP did review the allegations he made.</w:t>
      </w:r>
    </w:p>
    <w:p>
      <w:pPr>
        <w:pStyle w:val="BodyText"/>
      </w:pPr>
    </w:p>
    <w:p>
      <w:pPr>
        <w:pStyle w:val="BodyText"/>
        <w:spacing w:before="9"/>
        <w:rPr>
          <w:sz w:val="27"/>
        </w:rPr>
      </w:pPr>
    </w:p>
    <w:p>
      <w:pPr>
        <w:pStyle w:val="BodyText"/>
        <w:spacing w:line="491" w:lineRule="auto"/>
        <w:ind w:left="119" w:right="103"/>
        <w:jc w:val="both"/>
      </w:pPr>
      <w:r>
        <w:rPr>
          <w:w w:val="110"/>
        </w:rPr>
        <w:t>There were other witnesses who came forward on a confidential basis. They</w:t>
      </w:r>
      <w:r>
        <w:rPr>
          <w:spacing w:val="66"/>
          <w:w w:val="110"/>
        </w:rPr>
        <w:t> </w:t>
      </w:r>
      <w:r>
        <w:rPr>
          <w:w w:val="110"/>
        </w:rPr>
        <w:t>were important to the work of the IP investigation in that they provided highly credible cross-corroboration of evidence both </w:t>
      </w:r>
      <w:r>
        <w:rPr>
          <w:rFonts w:ascii="Palatino Linotype"/>
          <w:i/>
          <w:w w:val="110"/>
        </w:rPr>
        <w:t>viva voce </w:t>
      </w:r>
      <w:r>
        <w:rPr>
          <w:w w:val="110"/>
        </w:rPr>
        <w:t>and documentary that the</w:t>
      </w:r>
    </w:p>
    <w:p>
      <w:pPr>
        <w:spacing w:after="0" w:line="491" w:lineRule="auto"/>
        <w:jc w:val="both"/>
        <w:sectPr>
          <w:pgSz w:w="12240" w:h="15840"/>
          <w:pgMar w:header="0" w:footer="702" w:top="1440" w:bottom="900" w:left="1700" w:right="1680"/>
        </w:sectPr>
      </w:pPr>
    </w:p>
    <w:p>
      <w:pPr>
        <w:pStyle w:val="BodyText"/>
        <w:spacing w:line="504" w:lineRule="auto" w:before="16"/>
        <w:ind w:left="119" w:right="110"/>
        <w:jc w:val="both"/>
      </w:pPr>
      <w:r>
        <w:rPr>
          <w:w w:val="110"/>
        </w:rPr>
        <w:t>IP had already secured.  I have promised not to name these individuals, however  I do want to thank them for their assistance, courage and fortitude in coming forward and sharing information and documents with the </w:t>
      </w:r>
      <w:r>
        <w:rPr>
          <w:spacing w:val="8"/>
          <w:w w:val="110"/>
        </w:rPr>
        <w:t> </w:t>
      </w:r>
      <w:r>
        <w:rPr>
          <w:w w:val="110"/>
        </w:rPr>
        <w:t>IP.</w:t>
      </w:r>
    </w:p>
    <w:p>
      <w:pPr>
        <w:pStyle w:val="BodyText"/>
      </w:pPr>
    </w:p>
    <w:p>
      <w:pPr>
        <w:pStyle w:val="BodyText"/>
        <w:spacing w:before="2"/>
        <w:rPr>
          <w:sz w:val="27"/>
        </w:rPr>
      </w:pPr>
    </w:p>
    <w:p>
      <w:pPr>
        <w:pStyle w:val="BodyText"/>
        <w:spacing w:line="504" w:lineRule="auto"/>
        <w:ind w:left="119" w:right="107"/>
        <w:jc w:val="both"/>
      </w:pPr>
      <w:r>
        <w:rPr>
          <w:w w:val="110"/>
        </w:rPr>
        <w:t>The IP did not seek to interview persons living within the Russian Federation. This includes government officials. My experience on the IC was such that individuals who were identified to give interviews were fearful of speaking to</w:t>
      </w:r>
      <w:r>
        <w:rPr>
          <w:spacing w:val="66"/>
          <w:w w:val="110"/>
        </w:rPr>
        <w:t> </w:t>
      </w:r>
      <w:r>
        <w:rPr>
          <w:w w:val="110"/>
        </w:rPr>
        <w:t>the IC. I did not seek to meet with government officials and did not think it necessary having already done so with the IC with little benefit to that investigation. I also received, unsolicited, an extensive narrative with</w:t>
      </w:r>
      <w:r>
        <w:rPr>
          <w:spacing w:val="66"/>
          <w:w w:val="110"/>
        </w:rPr>
        <w:t> </w:t>
      </w:r>
      <w:r>
        <w:rPr>
          <w:w w:val="110"/>
        </w:rPr>
        <w:t>attachments from one important government representative described in this Report. In the short time of 57 days that I was given to conduct this IP investigation it was simply not practical and I deemed such interviewing would not be helpful based on my experience with the</w:t>
      </w:r>
      <w:r>
        <w:rPr>
          <w:spacing w:val="-29"/>
          <w:w w:val="110"/>
        </w:rPr>
        <w:t> </w:t>
      </w:r>
      <w:r>
        <w:rPr>
          <w:w w:val="110"/>
        </w:rPr>
        <w:t>IC.</w:t>
      </w:r>
    </w:p>
    <w:p>
      <w:pPr>
        <w:pStyle w:val="ListParagraph"/>
        <w:numPr>
          <w:ilvl w:val="1"/>
          <w:numId w:val="8"/>
        </w:numPr>
        <w:tabs>
          <w:tab w:pos="479" w:val="left" w:leader="none"/>
        </w:tabs>
        <w:spacing w:line="240" w:lineRule="auto" w:before="181" w:after="0"/>
        <w:ind w:left="478" w:right="0" w:hanging="359"/>
        <w:jc w:val="both"/>
        <w:rPr>
          <w:rFonts w:ascii="Palatino Linotype"/>
          <w:sz w:val="24"/>
        </w:rPr>
      </w:pPr>
      <w:r>
        <w:rPr>
          <w:rFonts w:ascii="Palatino Linotype"/>
          <w:w w:val="105"/>
          <w:sz w:val="24"/>
        </w:rPr>
        <w:t>Findings</w:t>
      </w:r>
      <w:r>
        <w:rPr>
          <w:rFonts w:ascii="Palatino Linotype"/>
          <w:spacing w:val="-12"/>
          <w:w w:val="105"/>
          <w:sz w:val="24"/>
        </w:rPr>
        <w:t> </w:t>
      </w:r>
      <w:r>
        <w:rPr>
          <w:rFonts w:ascii="Palatino Linotype"/>
          <w:w w:val="105"/>
          <w:sz w:val="24"/>
        </w:rPr>
        <w:t>of</w:t>
      </w:r>
      <w:r>
        <w:rPr>
          <w:rFonts w:ascii="Palatino Linotype"/>
          <w:spacing w:val="-11"/>
          <w:w w:val="105"/>
          <w:sz w:val="24"/>
        </w:rPr>
        <w:t> </w:t>
      </w:r>
      <w:r>
        <w:rPr>
          <w:rFonts w:ascii="Palatino Linotype"/>
          <w:w w:val="105"/>
          <w:sz w:val="24"/>
        </w:rPr>
        <w:t>IC</w:t>
      </w:r>
      <w:r>
        <w:rPr>
          <w:rFonts w:ascii="Palatino Linotype"/>
          <w:spacing w:val="-12"/>
          <w:w w:val="105"/>
          <w:sz w:val="24"/>
        </w:rPr>
        <w:t> </w:t>
      </w:r>
      <w:r>
        <w:rPr>
          <w:rFonts w:ascii="Palatino Linotype"/>
          <w:w w:val="105"/>
          <w:sz w:val="24"/>
        </w:rPr>
        <w:t>and</w:t>
      </w:r>
      <w:r>
        <w:rPr>
          <w:rFonts w:ascii="Palatino Linotype"/>
          <w:spacing w:val="-12"/>
          <w:w w:val="105"/>
          <w:sz w:val="24"/>
        </w:rPr>
        <w:t> </w:t>
      </w:r>
      <w:r>
        <w:rPr>
          <w:rFonts w:ascii="Palatino Linotype"/>
          <w:w w:val="105"/>
          <w:sz w:val="24"/>
        </w:rPr>
        <w:t>Relationship</w:t>
      </w:r>
      <w:r>
        <w:rPr>
          <w:rFonts w:ascii="Palatino Linotype"/>
          <w:spacing w:val="-12"/>
          <w:w w:val="105"/>
          <w:sz w:val="24"/>
        </w:rPr>
        <w:t> </w:t>
      </w:r>
      <w:r>
        <w:rPr>
          <w:rFonts w:ascii="Palatino Linotype"/>
          <w:w w:val="105"/>
          <w:sz w:val="24"/>
        </w:rPr>
        <w:t>to</w:t>
      </w:r>
      <w:r>
        <w:rPr>
          <w:rFonts w:ascii="Palatino Linotype"/>
          <w:spacing w:val="-13"/>
          <w:w w:val="105"/>
          <w:sz w:val="24"/>
        </w:rPr>
        <w:t> </w:t>
      </w:r>
      <w:r>
        <w:rPr>
          <w:rFonts w:ascii="Palatino Linotype"/>
          <w:w w:val="105"/>
          <w:sz w:val="24"/>
        </w:rPr>
        <w:t>IP</w:t>
      </w:r>
      <w:r>
        <w:rPr>
          <w:rFonts w:ascii="Palatino Linotype"/>
          <w:spacing w:val="-10"/>
          <w:w w:val="105"/>
          <w:sz w:val="24"/>
        </w:rPr>
        <w:t> </w:t>
      </w:r>
      <w:r>
        <w:rPr>
          <w:rFonts w:ascii="Palatino Linotype"/>
          <w:w w:val="105"/>
          <w:sz w:val="24"/>
        </w:rPr>
        <w:t>Investigation</w:t>
      </w:r>
    </w:p>
    <w:p>
      <w:pPr>
        <w:pStyle w:val="BodyText"/>
        <w:rPr>
          <w:rFonts w:ascii="Palatino Linotype"/>
        </w:rPr>
      </w:pPr>
    </w:p>
    <w:p>
      <w:pPr>
        <w:pStyle w:val="BodyText"/>
        <w:spacing w:before="6"/>
        <w:rPr>
          <w:rFonts w:ascii="Palatino Linotype"/>
          <w:sz w:val="18"/>
        </w:rPr>
      </w:pPr>
    </w:p>
    <w:p>
      <w:pPr>
        <w:pStyle w:val="BodyText"/>
        <w:spacing w:line="504" w:lineRule="auto"/>
        <w:ind w:left="119" w:right="106"/>
        <w:jc w:val="both"/>
      </w:pPr>
      <w:r>
        <w:rPr>
          <w:w w:val="110"/>
        </w:rPr>
        <w:t>The IC uncovered a system within Russia for doping athletes directed by senior coaching officials of Russian athletics. That was accomplished by the corruption of Doping Control Officers ("DCO") working under the direction of RUSADA. The coaches were also able to achieve their objectives of doping athletes under their direction by knowing the wash out periods for various performance enhancing  drugs  ("PED").   They  would  be assisted  in  that  regard by</w:t>
      </w:r>
      <w:r>
        <w:rPr>
          <w:spacing w:val="57"/>
          <w:w w:val="110"/>
        </w:rPr>
        <w:t> </w:t>
      </w:r>
      <w:r>
        <w:rPr>
          <w:w w:val="110"/>
        </w:rPr>
        <w:t>various</w:t>
      </w:r>
    </w:p>
    <w:p>
      <w:pPr>
        <w:spacing w:after="0" w:line="504" w:lineRule="auto"/>
        <w:jc w:val="both"/>
        <w:sectPr>
          <w:footerReference w:type="default" r:id="rId9"/>
          <w:pgSz w:w="12240" w:h="15840"/>
          <w:pgMar w:footer="1477" w:header="0" w:top="1440" w:bottom="1660" w:left="1700" w:right="1680"/>
        </w:sectPr>
      </w:pPr>
    </w:p>
    <w:p>
      <w:pPr>
        <w:pStyle w:val="BodyText"/>
        <w:spacing w:line="504" w:lineRule="auto" w:before="16"/>
        <w:ind w:left="119" w:right="108"/>
        <w:jc w:val="both"/>
      </w:pPr>
      <w:r>
        <w:rPr>
          <w:w w:val="110"/>
        </w:rPr>
        <w:t>system of doping with anabolic steroids without understanding that what they were accomplishing with the PEDs program. This was starting to show up in the Athlete Biological Passport ("ABP"), which was legally recognized in 2011 but not well understood in Russian sporting circles for at least another full year. As the problem became more acute, the corruption of both Russian</w:t>
      </w:r>
      <w:r>
        <w:rPr>
          <w:spacing w:val="66"/>
          <w:w w:val="110"/>
        </w:rPr>
        <w:t> </w:t>
      </w:r>
      <w:r>
        <w:rPr>
          <w:w w:val="110"/>
        </w:rPr>
        <w:t>and  international Athletics officials was used as a method of slowing down and otherwise distorting the reporting of positive results by use of the ABP. All of what has just been described is documented in the two IC reports of November 2015</w:t>
      </w:r>
      <w:r>
        <w:rPr>
          <w:spacing w:val="-34"/>
          <w:w w:val="110"/>
        </w:rPr>
        <w:t> </w:t>
      </w:r>
      <w:r>
        <w:rPr>
          <w:w w:val="110"/>
        </w:rPr>
        <w:t>and</w:t>
      </w:r>
      <w:r>
        <w:rPr>
          <w:spacing w:val="-34"/>
          <w:w w:val="110"/>
        </w:rPr>
        <w:t> </w:t>
      </w:r>
      <w:r>
        <w:rPr>
          <w:w w:val="110"/>
        </w:rPr>
        <w:t>January</w:t>
      </w:r>
      <w:r>
        <w:rPr>
          <w:spacing w:val="-34"/>
          <w:w w:val="110"/>
        </w:rPr>
        <w:t> </w:t>
      </w:r>
      <w:r>
        <w:rPr>
          <w:w w:val="110"/>
        </w:rPr>
        <w:t>2016.</w:t>
      </w:r>
    </w:p>
    <w:p>
      <w:pPr>
        <w:pStyle w:val="BodyText"/>
      </w:pPr>
    </w:p>
    <w:p>
      <w:pPr>
        <w:pStyle w:val="BodyText"/>
        <w:spacing w:before="6"/>
        <w:rPr>
          <w:sz w:val="27"/>
        </w:rPr>
      </w:pPr>
    </w:p>
    <w:p>
      <w:pPr>
        <w:pStyle w:val="BodyText"/>
        <w:spacing w:line="501" w:lineRule="auto" w:before="1"/>
        <w:ind w:left="119" w:right="105"/>
        <w:jc w:val="both"/>
      </w:pPr>
      <w:r>
        <w:rPr>
          <w:w w:val="110"/>
        </w:rPr>
        <w:t>What the IP investigation adds to the bigger picture is how the  WADA</w:t>
      </w:r>
      <w:r>
        <w:rPr>
          <w:spacing w:val="66"/>
          <w:w w:val="110"/>
        </w:rPr>
        <w:t> </w:t>
      </w:r>
      <w:r>
        <w:rPr>
          <w:w w:val="110"/>
        </w:rPr>
        <w:t>accredited laboratory was controlled by the state and acted as the failsafe mechanism to cover up doping. If all other steps were unsuccessful in covering up or manipulating the doping control system then the laboratory's role was to make an initial finding of a positive result disappear. With the additional evidence available to the IP, this Report provides facts and proof beyond that of the IC and describes a larger picture of Russian doping activity and the sports involved beyond merely</w:t>
      </w:r>
      <w:r>
        <w:rPr>
          <w:spacing w:val="-5"/>
          <w:w w:val="110"/>
        </w:rPr>
        <w:t> </w:t>
      </w:r>
      <w:r>
        <w:rPr>
          <w:w w:val="110"/>
        </w:rPr>
        <w:t>Athletics.</w:t>
      </w:r>
    </w:p>
    <w:p>
      <w:pPr>
        <w:pStyle w:val="BodyText"/>
      </w:pPr>
    </w:p>
    <w:p>
      <w:pPr>
        <w:pStyle w:val="BodyText"/>
      </w:pPr>
    </w:p>
    <w:p>
      <w:pPr>
        <w:pStyle w:val="ListParagraph"/>
        <w:numPr>
          <w:ilvl w:val="1"/>
          <w:numId w:val="8"/>
        </w:numPr>
        <w:tabs>
          <w:tab w:pos="479" w:val="left" w:leader="none"/>
        </w:tabs>
        <w:spacing w:line="240" w:lineRule="auto" w:before="213" w:after="0"/>
        <w:ind w:left="478" w:right="0" w:hanging="359"/>
        <w:jc w:val="both"/>
        <w:rPr>
          <w:rFonts w:ascii="Palatino Linotype"/>
          <w:sz w:val="24"/>
        </w:rPr>
      </w:pPr>
      <w:r>
        <w:rPr>
          <w:rFonts w:ascii="Palatino Linotype"/>
          <w:w w:val="105"/>
          <w:sz w:val="24"/>
        </w:rPr>
        <w:t>Overall</w:t>
      </w:r>
      <w:r>
        <w:rPr>
          <w:rFonts w:ascii="Palatino Linotype"/>
          <w:spacing w:val="-20"/>
          <w:w w:val="105"/>
          <w:sz w:val="24"/>
        </w:rPr>
        <w:t> </w:t>
      </w:r>
      <w:r>
        <w:rPr>
          <w:rFonts w:ascii="Palatino Linotype"/>
          <w:w w:val="105"/>
          <w:sz w:val="24"/>
        </w:rPr>
        <w:t>Outcomes</w:t>
      </w:r>
      <w:r>
        <w:rPr>
          <w:rFonts w:ascii="Palatino Linotype"/>
          <w:spacing w:val="-20"/>
          <w:w w:val="105"/>
          <w:sz w:val="24"/>
        </w:rPr>
        <w:t> </w:t>
      </w:r>
      <w:r>
        <w:rPr>
          <w:rFonts w:ascii="Palatino Linotype"/>
          <w:w w:val="105"/>
          <w:sz w:val="24"/>
        </w:rPr>
        <w:t>of</w:t>
      </w:r>
      <w:r>
        <w:rPr>
          <w:rFonts w:ascii="Palatino Linotype"/>
          <w:spacing w:val="-18"/>
          <w:w w:val="105"/>
          <w:sz w:val="24"/>
        </w:rPr>
        <w:t> </w:t>
      </w:r>
      <w:r>
        <w:rPr>
          <w:rFonts w:ascii="Palatino Linotype"/>
          <w:w w:val="105"/>
          <w:sz w:val="24"/>
        </w:rPr>
        <w:t>the</w:t>
      </w:r>
      <w:r>
        <w:rPr>
          <w:rFonts w:ascii="Palatino Linotype"/>
          <w:spacing w:val="-20"/>
          <w:w w:val="105"/>
          <w:sz w:val="24"/>
        </w:rPr>
        <w:t> </w:t>
      </w:r>
      <w:r>
        <w:rPr>
          <w:rFonts w:ascii="Palatino Linotype"/>
          <w:w w:val="105"/>
          <w:sz w:val="24"/>
        </w:rPr>
        <w:t>Independent</w:t>
      </w:r>
      <w:r>
        <w:rPr>
          <w:rFonts w:ascii="Palatino Linotype"/>
          <w:spacing w:val="-22"/>
          <w:w w:val="105"/>
          <w:sz w:val="24"/>
        </w:rPr>
        <w:t> </w:t>
      </w:r>
      <w:r>
        <w:rPr>
          <w:rFonts w:ascii="Palatino Linotype"/>
          <w:w w:val="105"/>
          <w:sz w:val="24"/>
        </w:rPr>
        <w:t>Investigation</w:t>
      </w:r>
    </w:p>
    <w:p>
      <w:pPr>
        <w:pStyle w:val="BodyText"/>
        <w:rPr>
          <w:rFonts w:ascii="Palatino Linotype"/>
        </w:rPr>
      </w:pPr>
    </w:p>
    <w:p>
      <w:pPr>
        <w:pStyle w:val="BodyText"/>
        <w:spacing w:before="6"/>
        <w:rPr>
          <w:rFonts w:ascii="Palatino Linotype"/>
          <w:sz w:val="18"/>
        </w:rPr>
      </w:pPr>
    </w:p>
    <w:p>
      <w:pPr>
        <w:pStyle w:val="BodyText"/>
        <w:ind w:left="119"/>
        <w:jc w:val="both"/>
      </w:pPr>
      <w:r>
        <w:rPr>
          <w:w w:val="110"/>
        </w:rPr>
        <w:t>Upon</w:t>
      </w:r>
      <w:r>
        <w:rPr>
          <w:spacing w:val="54"/>
          <w:w w:val="110"/>
        </w:rPr>
        <w:t> </w:t>
      </w:r>
      <w:r>
        <w:rPr>
          <w:w w:val="110"/>
        </w:rPr>
        <w:t>embarking</w:t>
      </w:r>
      <w:r>
        <w:rPr>
          <w:spacing w:val="50"/>
          <w:w w:val="110"/>
        </w:rPr>
        <w:t> </w:t>
      </w:r>
      <w:r>
        <w:rPr>
          <w:w w:val="110"/>
        </w:rPr>
        <w:t>on</w:t>
      </w:r>
      <w:r>
        <w:rPr>
          <w:spacing w:val="51"/>
          <w:w w:val="110"/>
        </w:rPr>
        <w:t> </w:t>
      </w:r>
      <w:r>
        <w:rPr>
          <w:w w:val="110"/>
        </w:rPr>
        <w:t>its</w:t>
      </w:r>
      <w:r>
        <w:rPr>
          <w:spacing w:val="54"/>
          <w:w w:val="110"/>
        </w:rPr>
        <w:t> </w:t>
      </w:r>
      <w:r>
        <w:rPr>
          <w:w w:val="110"/>
        </w:rPr>
        <w:t>investigation</w:t>
      </w:r>
      <w:r>
        <w:rPr>
          <w:spacing w:val="54"/>
          <w:w w:val="110"/>
        </w:rPr>
        <w:t> </w:t>
      </w:r>
      <w:r>
        <w:rPr>
          <w:w w:val="110"/>
        </w:rPr>
        <w:t>the IP</w:t>
      </w:r>
      <w:r>
        <w:rPr>
          <w:spacing w:val="51"/>
          <w:w w:val="110"/>
        </w:rPr>
        <w:t> </w:t>
      </w:r>
      <w:r>
        <w:rPr>
          <w:w w:val="110"/>
        </w:rPr>
        <w:t>quickly</w:t>
      </w:r>
      <w:r>
        <w:rPr>
          <w:spacing w:val="50"/>
          <w:w w:val="110"/>
        </w:rPr>
        <w:t> </w:t>
      </w:r>
      <w:r>
        <w:rPr>
          <w:w w:val="110"/>
        </w:rPr>
        <w:t>found</w:t>
      </w:r>
      <w:r>
        <w:rPr>
          <w:spacing w:val="51"/>
          <w:w w:val="110"/>
        </w:rPr>
        <w:t> </w:t>
      </w:r>
      <w:r>
        <w:rPr>
          <w:w w:val="110"/>
        </w:rPr>
        <w:t>a</w:t>
      </w:r>
      <w:r>
        <w:rPr>
          <w:spacing w:val="51"/>
          <w:w w:val="110"/>
        </w:rPr>
        <w:t> </w:t>
      </w:r>
      <w:r>
        <w:rPr>
          <w:w w:val="110"/>
        </w:rPr>
        <w:t>wider</w:t>
      </w:r>
      <w:r>
        <w:rPr>
          <w:spacing w:val="56"/>
          <w:w w:val="110"/>
        </w:rPr>
        <w:t> </w:t>
      </w:r>
      <w:r>
        <w:rPr>
          <w:w w:val="110"/>
        </w:rPr>
        <w:t>means of</w:t>
      </w:r>
    </w:p>
    <w:p>
      <w:pPr>
        <w:spacing w:after="0"/>
        <w:jc w:val="both"/>
        <w:sectPr>
          <w:footerReference w:type="default" r:id="rId10"/>
          <w:pgSz w:w="12240" w:h="15840"/>
          <w:pgMar w:footer="1477" w:header="0" w:top="1440" w:bottom="1660" w:left="1700" w:right="1680"/>
        </w:sectPr>
      </w:pPr>
    </w:p>
    <w:p>
      <w:pPr>
        <w:pStyle w:val="BodyText"/>
        <w:spacing w:line="504" w:lineRule="auto" w:before="16"/>
        <w:ind w:left="119" w:right="106"/>
        <w:jc w:val="both"/>
      </w:pPr>
      <w:r>
        <w:rPr>
          <w:w w:val="110"/>
        </w:rPr>
        <w:t>The Sochi Laboratory urine sample swapping scheme was a unique standalone approach to meet a special set of circumstances. Behind this lay a greater systematic scheme operated by the Moscow Laboratory for false reporting of positive samples supported by what the IP termed the disappearing positive methodology. What emerged from all the investigative sources was a simple but effective and efficient method for direction and control under the Deputy</w:t>
      </w:r>
      <w:r>
        <w:rPr>
          <w:spacing w:val="66"/>
          <w:w w:val="110"/>
        </w:rPr>
        <w:t> </w:t>
      </w:r>
      <w:r>
        <w:rPr>
          <w:w w:val="110"/>
        </w:rPr>
        <w:t>Minister of Sport to force the Laboratory to report any positive screen finding as a negative analytical result.  The disappearing</w:t>
      </w:r>
      <w:r>
        <w:rPr>
          <w:spacing w:val="33"/>
          <w:w w:val="110"/>
        </w:rPr>
        <w:t> </w:t>
      </w:r>
      <w:r>
        <w:rPr>
          <w:w w:val="110"/>
        </w:rPr>
        <w:t>positive!</w:t>
      </w:r>
    </w:p>
    <w:p>
      <w:pPr>
        <w:pStyle w:val="BodyText"/>
      </w:pPr>
    </w:p>
    <w:p>
      <w:pPr>
        <w:pStyle w:val="BodyText"/>
        <w:spacing w:before="2"/>
        <w:rPr>
          <w:sz w:val="27"/>
        </w:rPr>
      </w:pPr>
    </w:p>
    <w:p>
      <w:pPr>
        <w:pStyle w:val="BodyText"/>
        <w:spacing w:line="504" w:lineRule="auto"/>
        <w:ind w:left="119" w:right="105"/>
        <w:jc w:val="both"/>
      </w:pPr>
      <w:r>
        <w:rPr/>
        <w:pict>
          <v:shape style="position:absolute;margin-left:510.720001pt;margin-top:413.443146pt;width:4.8pt;height:8.2pt;mso-position-horizontal-relative:page;mso-position-vertical-relative:paragraph;z-index:1072" coordorigin="10214,8269" coordsize="96,164" path="m10310,8422l10222,8422,10222,8432,10310,8432,10310,8422xm10291,8420l10241,8420,10236,8422,10296,8422,10291,8420xm10277,8298l10253,8298,10253,8300,10255,8300,10255,8410,10253,8413,10253,8415,10250,8415,10250,8418,10248,8420,10286,8420,10284,8418,10282,8418,10277,8413,10277,8298xm10277,8269l10270,8269,10214,8302,10219,8312,10234,8302,10243,8298,10277,8298,10277,8269xe" filled="true" fillcolor="#000000" stroked="false">
            <v:path arrowok="t"/>
            <v:fill type="solid"/>
            <w10:wrap type="none"/>
          </v:shape>
        </w:pict>
      </w:r>
      <w:r>
        <w:rPr>
          <w:w w:val="110"/>
        </w:rPr>
        <w:t>The Disappearing Positive Methodology was used as a State directed method following the very abysmal medal count by the Russian Olympic athletes participating in the 2010 Winter Olympic Games in Vancouver. At that time, Sochi had already been designated as the next Winter Olympic venue. A new Deputy Minister of Sport, Yuri Nagornykh, was appointed in 2010 by Executive Order of then Prime Minister, Vladimir Putin. Nagornykh, also a member of the Russian Olympic Committee ("ROC"), reports to the Minister of Sport, Vitaly Mutko. Minister Mutko has continuously held this appointment since the Presidential Order of President Medvedev in May 2008. He is also the chairman of the organising committee for the 2018 FIFA World Cup in Russia and is a member of the FIFA Executive Committee.</w:t>
      </w:r>
    </w:p>
    <w:p>
      <w:pPr>
        <w:spacing w:after="0" w:line="504" w:lineRule="auto"/>
        <w:jc w:val="both"/>
        <w:sectPr>
          <w:footerReference w:type="default" r:id="rId11"/>
          <w:pgSz w:w="12240" w:h="15840"/>
          <w:pgMar w:footer="707" w:header="0" w:top="1440" w:bottom="900" w:left="1700" w:right="1680"/>
        </w:sectPr>
      </w:pPr>
    </w:p>
    <w:p>
      <w:pPr>
        <w:pStyle w:val="BodyText"/>
        <w:spacing w:line="504" w:lineRule="auto" w:before="16"/>
        <w:ind w:left="119" w:right="109"/>
        <w:jc w:val="both"/>
      </w:pPr>
      <w:r>
        <w:rPr>
          <w:w w:val="110"/>
        </w:rPr>
        <w:t>Deputy Minister Nagornykh was critical to the smooth running of the Disappearing Positive Methodology. Representing the State, he was advised of every positive analytical finding arising in the Moscow Laboratory from 2011 onwards. Nagornykh, as the Deputy Minister of Sport, decided who would benefit from a cover up and who would not be</w:t>
      </w:r>
      <w:r>
        <w:rPr>
          <w:spacing w:val="35"/>
          <w:w w:val="110"/>
        </w:rPr>
        <w:t> </w:t>
      </w:r>
      <w:r>
        <w:rPr>
          <w:w w:val="110"/>
        </w:rPr>
        <w:t>protected.</w:t>
      </w:r>
    </w:p>
    <w:p>
      <w:pPr>
        <w:pStyle w:val="BodyText"/>
      </w:pPr>
    </w:p>
    <w:p>
      <w:pPr>
        <w:pStyle w:val="BodyText"/>
        <w:spacing w:before="2"/>
        <w:rPr>
          <w:sz w:val="27"/>
        </w:rPr>
      </w:pPr>
    </w:p>
    <w:p>
      <w:pPr>
        <w:pStyle w:val="BodyText"/>
        <w:spacing w:line="504" w:lineRule="auto"/>
        <w:ind w:left="119" w:right="105"/>
        <w:jc w:val="both"/>
      </w:pPr>
      <w:r>
        <w:rPr>
          <w:w w:val="110"/>
        </w:rPr>
        <w:t>In total violation of the WADA International Standard for Laboratories ("ISL") all analytical positives appearing on the first sample screen at the Moscow laboratory were reported up to the Deputy Minister after the athlete's name had been added to the information to be supplied. The order would come back from the Deputy Minister "SAVE" or "QUARANTINE". If the order was a SAVE the laboratory personnel were required to report the sample negative in WADA's Anti-Doping Management System ("ADAMS"). Then the laboratory personnel would falsify the screen result in the Laboratory Information Management</w:t>
      </w:r>
      <w:r>
        <w:rPr>
          <w:spacing w:val="66"/>
          <w:w w:val="110"/>
        </w:rPr>
        <w:t> </w:t>
      </w:r>
      <w:r>
        <w:rPr>
          <w:w w:val="110"/>
        </w:rPr>
        <w:t>System ("LIMS") to show a negative laboratory result. The athlete benefited</w:t>
      </w:r>
      <w:r>
        <w:rPr>
          <w:spacing w:val="66"/>
          <w:w w:val="110"/>
        </w:rPr>
        <w:t> </w:t>
      </w:r>
      <w:r>
        <w:rPr>
          <w:w w:val="110"/>
        </w:rPr>
        <w:t>from the cover up determined and directed by the Deputy Minister of Sport and could continue to compete</w:t>
      </w:r>
      <w:r>
        <w:rPr>
          <w:spacing w:val="14"/>
          <w:w w:val="110"/>
        </w:rPr>
        <w:t> </w:t>
      </w:r>
      <w:r>
        <w:rPr>
          <w:w w:val="110"/>
        </w:rPr>
        <w:t>dirty.</w:t>
      </w:r>
    </w:p>
    <w:p>
      <w:pPr>
        <w:pStyle w:val="BodyText"/>
      </w:pPr>
    </w:p>
    <w:p>
      <w:pPr>
        <w:pStyle w:val="BodyText"/>
        <w:spacing w:before="2"/>
        <w:rPr>
          <w:sz w:val="27"/>
        </w:rPr>
      </w:pPr>
    </w:p>
    <w:p>
      <w:pPr>
        <w:pStyle w:val="BodyText"/>
        <w:spacing w:line="504" w:lineRule="auto"/>
        <w:ind w:left="119" w:right="105"/>
        <w:jc w:val="both"/>
      </w:pPr>
      <w:r>
        <w:rPr>
          <w:w w:val="110"/>
        </w:rPr>
        <w:t>The Disappearing Positive Methodology worked well to cover up doping except at international events where there were independent observers such  as  the  IAAF World Championships held in Moscow in 2013 and the Winter Olympics and</w:t>
      </w:r>
      <w:r>
        <w:rPr>
          <w:spacing w:val="-18"/>
          <w:w w:val="110"/>
        </w:rPr>
        <w:t> </w:t>
      </w:r>
      <w:r>
        <w:rPr>
          <w:w w:val="110"/>
        </w:rPr>
        <w:t>Paralympics</w:t>
      </w:r>
      <w:r>
        <w:rPr>
          <w:spacing w:val="-19"/>
          <w:w w:val="110"/>
        </w:rPr>
        <w:t> </w:t>
      </w:r>
      <w:r>
        <w:rPr>
          <w:w w:val="110"/>
        </w:rPr>
        <w:t>in</w:t>
      </w:r>
      <w:r>
        <w:rPr>
          <w:spacing w:val="-18"/>
          <w:w w:val="110"/>
        </w:rPr>
        <w:t> </w:t>
      </w:r>
      <w:r>
        <w:rPr>
          <w:w w:val="110"/>
        </w:rPr>
        <w:t>Sochi</w:t>
      </w:r>
      <w:r>
        <w:rPr>
          <w:spacing w:val="-19"/>
          <w:w w:val="110"/>
        </w:rPr>
        <w:t> </w:t>
      </w:r>
      <w:r>
        <w:rPr>
          <w:w w:val="110"/>
        </w:rPr>
        <w:t>in</w:t>
      </w:r>
      <w:r>
        <w:rPr>
          <w:spacing w:val="-16"/>
          <w:w w:val="110"/>
        </w:rPr>
        <w:t> </w:t>
      </w:r>
      <w:r>
        <w:rPr>
          <w:w w:val="110"/>
        </w:rPr>
        <w:t>2014.</w:t>
      </w:r>
    </w:p>
    <w:p>
      <w:pPr>
        <w:spacing w:after="0" w:line="504" w:lineRule="auto"/>
        <w:jc w:val="both"/>
        <w:sectPr>
          <w:footerReference w:type="default" r:id="rId12"/>
          <w:pgSz w:w="12240" w:h="15840"/>
          <w:pgMar w:footer="707" w:header="0" w:top="1440" w:bottom="900" w:left="1700" w:right="1680"/>
        </w:sectPr>
      </w:pPr>
    </w:p>
    <w:p>
      <w:pPr>
        <w:pStyle w:val="BodyText"/>
        <w:rPr>
          <w:sz w:val="20"/>
        </w:rPr>
      </w:pPr>
    </w:p>
    <w:p>
      <w:pPr>
        <w:pStyle w:val="BodyText"/>
        <w:spacing w:before="6"/>
        <w:rPr>
          <w:sz w:val="23"/>
        </w:rPr>
      </w:pPr>
    </w:p>
    <w:p>
      <w:pPr>
        <w:pStyle w:val="BodyText"/>
        <w:spacing w:line="501" w:lineRule="auto" w:before="36"/>
        <w:ind w:left="119" w:right="106"/>
        <w:jc w:val="both"/>
      </w:pPr>
      <w:r>
        <w:rPr>
          <w:w w:val="115"/>
        </w:rPr>
        <w:t>Through</w:t>
      </w:r>
      <w:r>
        <w:rPr>
          <w:spacing w:val="-29"/>
          <w:w w:val="115"/>
        </w:rPr>
        <w:t> </w:t>
      </w:r>
      <w:r>
        <w:rPr>
          <w:w w:val="115"/>
        </w:rPr>
        <w:t>the</w:t>
      </w:r>
      <w:r>
        <w:rPr>
          <w:spacing w:val="-31"/>
          <w:w w:val="115"/>
        </w:rPr>
        <w:t> </w:t>
      </w:r>
      <w:r>
        <w:rPr>
          <w:w w:val="115"/>
        </w:rPr>
        <w:t>efforts</w:t>
      </w:r>
      <w:r>
        <w:rPr>
          <w:spacing w:val="-32"/>
          <w:w w:val="115"/>
        </w:rPr>
        <w:t> </w:t>
      </w:r>
      <w:r>
        <w:rPr>
          <w:w w:val="115"/>
        </w:rPr>
        <w:t>of</w:t>
      </w:r>
      <w:r>
        <w:rPr>
          <w:spacing w:val="-32"/>
          <w:w w:val="115"/>
        </w:rPr>
        <w:t> </w:t>
      </w:r>
      <w:r>
        <w:rPr>
          <w:w w:val="115"/>
        </w:rPr>
        <w:t>the</w:t>
      </w:r>
      <w:r>
        <w:rPr>
          <w:spacing w:val="-32"/>
          <w:w w:val="115"/>
        </w:rPr>
        <w:t> </w:t>
      </w:r>
      <w:r>
        <w:rPr>
          <w:w w:val="115"/>
        </w:rPr>
        <w:t>FSB,</w:t>
      </w:r>
      <w:r>
        <w:rPr>
          <w:spacing w:val="-32"/>
          <w:w w:val="115"/>
        </w:rPr>
        <w:t> </w:t>
      </w:r>
      <w:r>
        <w:rPr>
          <w:w w:val="115"/>
        </w:rPr>
        <w:t>a</w:t>
      </w:r>
      <w:r>
        <w:rPr>
          <w:spacing w:val="-32"/>
          <w:w w:val="115"/>
        </w:rPr>
        <w:t> </w:t>
      </w:r>
      <w:r>
        <w:rPr>
          <w:w w:val="115"/>
        </w:rPr>
        <w:t>method</w:t>
      </w:r>
      <w:r>
        <w:rPr>
          <w:spacing w:val="-32"/>
          <w:w w:val="115"/>
        </w:rPr>
        <w:t> </w:t>
      </w:r>
      <w:r>
        <w:rPr>
          <w:w w:val="115"/>
        </w:rPr>
        <w:t>for</w:t>
      </w:r>
      <w:r>
        <w:rPr>
          <w:spacing w:val="-31"/>
          <w:w w:val="115"/>
        </w:rPr>
        <w:t> </w:t>
      </w:r>
      <w:r>
        <w:rPr>
          <w:w w:val="115"/>
        </w:rPr>
        <w:t>surreptitiously</w:t>
      </w:r>
      <w:r>
        <w:rPr>
          <w:spacing w:val="-32"/>
          <w:w w:val="115"/>
        </w:rPr>
        <w:t> </w:t>
      </w:r>
      <w:r>
        <w:rPr>
          <w:w w:val="115"/>
        </w:rPr>
        <w:t>removing</w:t>
      </w:r>
      <w:r>
        <w:rPr>
          <w:spacing w:val="-32"/>
          <w:w w:val="115"/>
        </w:rPr>
        <w:t> </w:t>
      </w:r>
      <w:r>
        <w:rPr>
          <w:w w:val="115"/>
        </w:rPr>
        <w:t>the</w:t>
      </w:r>
      <w:r>
        <w:rPr>
          <w:spacing w:val="-32"/>
          <w:w w:val="115"/>
        </w:rPr>
        <w:t> </w:t>
      </w:r>
      <w:r>
        <w:rPr>
          <w:w w:val="115"/>
        </w:rPr>
        <w:t>caps</w:t>
      </w:r>
      <w:r>
        <w:rPr>
          <w:spacing w:val="-30"/>
          <w:w w:val="115"/>
        </w:rPr>
        <w:t> </w:t>
      </w:r>
      <w:r>
        <w:rPr>
          <w:w w:val="115"/>
        </w:rPr>
        <w:t>of tamper evident sample bottles containing the urine samples of doped Russian athletes had been developed for use at Sochi. The IP has developed forensic evidence</w:t>
      </w:r>
      <w:r>
        <w:rPr>
          <w:spacing w:val="-5"/>
          <w:w w:val="115"/>
        </w:rPr>
        <w:t> </w:t>
      </w:r>
      <w:r>
        <w:rPr>
          <w:w w:val="115"/>
        </w:rPr>
        <w:t>that</w:t>
      </w:r>
      <w:r>
        <w:rPr>
          <w:spacing w:val="-6"/>
          <w:w w:val="115"/>
        </w:rPr>
        <w:t> </w:t>
      </w:r>
      <w:r>
        <w:rPr>
          <w:w w:val="115"/>
        </w:rPr>
        <w:t>establishes</w:t>
      </w:r>
      <w:r>
        <w:rPr>
          <w:spacing w:val="-6"/>
          <w:w w:val="115"/>
        </w:rPr>
        <w:t> </w:t>
      </w:r>
      <w:r>
        <w:rPr>
          <w:w w:val="115"/>
        </w:rPr>
        <w:t>beyond</w:t>
      </w:r>
      <w:r>
        <w:rPr>
          <w:spacing w:val="-4"/>
          <w:w w:val="115"/>
        </w:rPr>
        <w:t> </w:t>
      </w:r>
      <w:r>
        <w:rPr>
          <w:w w:val="115"/>
        </w:rPr>
        <w:t>a</w:t>
      </w:r>
      <w:r>
        <w:rPr>
          <w:spacing w:val="-6"/>
          <w:w w:val="115"/>
        </w:rPr>
        <w:t> </w:t>
      </w:r>
      <w:r>
        <w:rPr>
          <w:w w:val="115"/>
        </w:rPr>
        <w:t>reasonable</w:t>
      </w:r>
      <w:r>
        <w:rPr>
          <w:spacing w:val="-6"/>
          <w:w w:val="115"/>
        </w:rPr>
        <w:t> </w:t>
      </w:r>
      <w:r>
        <w:rPr>
          <w:w w:val="115"/>
        </w:rPr>
        <w:t>doubt</w:t>
      </w:r>
      <w:r>
        <w:rPr>
          <w:spacing w:val="-5"/>
          <w:w w:val="115"/>
        </w:rPr>
        <w:t> </w:t>
      </w:r>
      <w:r>
        <w:rPr>
          <w:w w:val="115"/>
        </w:rPr>
        <w:t>some</w:t>
      </w:r>
      <w:r>
        <w:rPr>
          <w:spacing w:val="-5"/>
          <w:w w:val="115"/>
        </w:rPr>
        <w:t> </w:t>
      </w:r>
      <w:r>
        <w:rPr>
          <w:w w:val="115"/>
        </w:rPr>
        <w:t>method</w:t>
      </w:r>
      <w:r>
        <w:rPr>
          <w:spacing w:val="-3"/>
          <w:w w:val="115"/>
        </w:rPr>
        <w:t> </w:t>
      </w:r>
      <w:r>
        <w:rPr>
          <w:w w:val="115"/>
        </w:rPr>
        <w:t>was</w:t>
      </w:r>
      <w:r>
        <w:rPr>
          <w:spacing w:val="-5"/>
          <w:w w:val="115"/>
        </w:rPr>
        <w:t> </w:t>
      </w:r>
      <w:r>
        <w:rPr>
          <w:w w:val="115"/>
        </w:rPr>
        <w:t>used</w:t>
      </w:r>
      <w:r>
        <w:rPr>
          <w:spacing w:val="-4"/>
          <w:w w:val="115"/>
        </w:rPr>
        <w:t> </w:t>
      </w:r>
      <w:r>
        <w:rPr>
          <w:w w:val="115"/>
        </w:rPr>
        <w:t>to replace positive dirty samples during the Sochi Games. The bottle opening method</w:t>
      </w:r>
      <w:r>
        <w:rPr>
          <w:spacing w:val="-30"/>
          <w:w w:val="115"/>
        </w:rPr>
        <w:t> </w:t>
      </w:r>
      <w:r>
        <w:rPr>
          <w:w w:val="115"/>
        </w:rPr>
        <w:t>was</w:t>
      </w:r>
      <w:r>
        <w:rPr>
          <w:spacing w:val="-32"/>
          <w:w w:val="115"/>
        </w:rPr>
        <w:t> </w:t>
      </w:r>
      <w:r>
        <w:rPr>
          <w:w w:val="115"/>
        </w:rPr>
        <w:t>used</w:t>
      </w:r>
      <w:r>
        <w:rPr>
          <w:spacing w:val="-32"/>
          <w:w w:val="115"/>
        </w:rPr>
        <w:t> </w:t>
      </w:r>
      <w:r>
        <w:rPr>
          <w:w w:val="115"/>
        </w:rPr>
        <w:t>again</w:t>
      </w:r>
      <w:r>
        <w:rPr>
          <w:spacing w:val="-33"/>
          <w:w w:val="115"/>
        </w:rPr>
        <w:t> </w:t>
      </w:r>
      <w:r>
        <w:rPr>
          <w:w w:val="115"/>
        </w:rPr>
        <w:t>in</w:t>
      </w:r>
      <w:r>
        <w:rPr>
          <w:spacing w:val="-32"/>
          <w:w w:val="115"/>
        </w:rPr>
        <w:t> </w:t>
      </w:r>
      <w:r>
        <w:rPr>
          <w:w w:val="115"/>
        </w:rPr>
        <w:t>December</w:t>
      </w:r>
      <w:r>
        <w:rPr>
          <w:spacing w:val="-30"/>
          <w:w w:val="115"/>
        </w:rPr>
        <w:t> </w:t>
      </w:r>
      <w:r>
        <w:rPr>
          <w:w w:val="115"/>
        </w:rPr>
        <w:t>2014</w:t>
      </w:r>
      <w:r>
        <w:rPr>
          <w:spacing w:val="-30"/>
          <w:w w:val="115"/>
        </w:rPr>
        <w:t> </w:t>
      </w:r>
      <w:r>
        <w:rPr>
          <w:w w:val="115"/>
        </w:rPr>
        <w:t>to</w:t>
      </w:r>
      <w:r>
        <w:rPr>
          <w:spacing w:val="-30"/>
          <w:w w:val="115"/>
        </w:rPr>
        <w:t> </w:t>
      </w:r>
      <w:r>
        <w:rPr>
          <w:w w:val="115"/>
        </w:rPr>
        <w:t>cover</w:t>
      </w:r>
      <w:r>
        <w:rPr>
          <w:spacing w:val="-30"/>
          <w:w w:val="115"/>
        </w:rPr>
        <w:t> </w:t>
      </w:r>
      <w:r>
        <w:rPr>
          <w:w w:val="115"/>
        </w:rPr>
        <w:t>up</w:t>
      </w:r>
      <w:r>
        <w:rPr>
          <w:spacing w:val="-31"/>
          <w:w w:val="115"/>
        </w:rPr>
        <w:t> </w:t>
      </w:r>
      <w:r>
        <w:rPr>
          <w:w w:val="115"/>
        </w:rPr>
        <w:t>some</w:t>
      </w:r>
      <w:r>
        <w:rPr>
          <w:spacing w:val="-30"/>
          <w:w w:val="115"/>
        </w:rPr>
        <w:t> </w:t>
      </w:r>
      <w:r>
        <w:rPr>
          <w:w w:val="115"/>
        </w:rPr>
        <w:t>dirty</w:t>
      </w:r>
      <w:r>
        <w:rPr>
          <w:spacing w:val="-30"/>
          <w:w w:val="115"/>
        </w:rPr>
        <w:t> </w:t>
      </w:r>
      <w:r>
        <w:rPr>
          <w:w w:val="115"/>
        </w:rPr>
        <w:t>samples,</w:t>
      </w:r>
      <w:r>
        <w:rPr>
          <w:spacing w:val="-33"/>
          <w:w w:val="115"/>
        </w:rPr>
        <w:t> </w:t>
      </w:r>
      <w:r>
        <w:rPr>
          <w:w w:val="115"/>
        </w:rPr>
        <w:t>which WADA</w:t>
      </w:r>
      <w:r>
        <w:rPr>
          <w:spacing w:val="-28"/>
          <w:w w:val="115"/>
        </w:rPr>
        <w:t> </w:t>
      </w:r>
      <w:r>
        <w:rPr>
          <w:w w:val="115"/>
        </w:rPr>
        <w:t>had</w:t>
      </w:r>
      <w:r>
        <w:rPr>
          <w:spacing w:val="-28"/>
          <w:w w:val="115"/>
        </w:rPr>
        <w:t> </w:t>
      </w:r>
      <w:r>
        <w:rPr>
          <w:w w:val="115"/>
        </w:rPr>
        <w:t>advised</w:t>
      </w:r>
      <w:r>
        <w:rPr>
          <w:spacing w:val="-26"/>
          <w:w w:val="115"/>
        </w:rPr>
        <w:t> </w:t>
      </w:r>
      <w:r>
        <w:rPr>
          <w:w w:val="115"/>
        </w:rPr>
        <w:t>would</w:t>
      </w:r>
      <w:r>
        <w:rPr>
          <w:spacing w:val="-26"/>
          <w:w w:val="115"/>
        </w:rPr>
        <w:t> </w:t>
      </w:r>
      <w:r>
        <w:rPr>
          <w:w w:val="115"/>
        </w:rPr>
        <w:t>be</w:t>
      </w:r>
      <w:r>
        <w:rPr>
          <w:spacing w:val="-26"/>
          <w:w w:val="115"/>
        </w:rPr>
        <w:t> </w:t>
      </w:r>
      <w:r>
        <w:rPr>
          <w:w w:val="115"/>
        </w:rPr>
        <w:t>removed</w:t>
      </w:r>
      <w:r>
        <w:rPr>
          <w:spacing w:val="-26"/>
          <w:w w:val="115"/>
        </w:rPr>
        <w:t> </w:t>
      </w:r>
      <w:r>
        <w:rPr>
          <w:w w:val="115"/>
        </w:rPr>
        <w:t>from</w:t>
      </w:r>
      <w:r>
        <w:rPr>
          <w:spacing w:val="-26"/>
          <w:w w:val="115"/>
        </w:rPr>
        <w:t> </w:t>
      </w:r>
      <w:r>
        <w:rPr>
          <w:w w:val="115"/>
        </w:rPr>
        <w:t>the</w:t>
      </w:r>
      <w:r>
        <w:rPr>
          <w:spacing w:val="-28"/>
          <w:w w:val="115"/>
        </w:rPr>
        <w:t> </w:t>
      </w:r>
      <w:r>
        <w:rPr>
          <w:w w:val="115"/>
        </w:rPr>
        <w:t>Moscow</w:t>
      </w:r>
      <w:r>
        <w:rPr>
          <w:spacing w:val="-28"/>
          <w:w w:val="115"/>
        </w:rPr>
        <w:t> </w:t>
      </w:r>
      <w:r>
        <w:rPr>
          <w:w w:val="115"/>
        </w:rPr>
        <w:t>Laboratory</w:t>
      </w:r>
      <w:r>
        <w:rPr>
          <w:spacing w:val="-26"/>
          <w:w w:val="115"/>
        </w:rPr>
        <w:t> </w:t>
      </w:r>
      <w:r>
        <w:rPr>
          <w:w w:val="115"/>
        </w:rPr>
        <w:t>for</w:t>
      </w:r>
      <w:r>
        <w:rPr>
          <w:spacing w:val="-27"/>
          <w:w w:val="115"/>
        </w:rPr>
        <w:t> </w:t>
      </w:r>
      <w:r>
        <w:rPr>
          <w:w w:val="115"/>
        </w:rPr>
        <w:t>further analysis.</w:t>
      </w:r>
    </w:p>
    <w:p>
      <w:pPr>
        <w:pStyle w:val="BodyText"/>
      </w:pPr>
    </w:p>
    <w:p>
      <w:pPr>
        <w:pStyle w:val="BodyText"/>
        <w:spacing w:before="9"/>
        <w:rPr>
          <w:sz w:val="27"/>
        </w:rPr>
      </w:pPr>
    </w:p>
    <w:p>
      <w:pPr>
        <w:pStyle w:val="BodyText"/>
        <w:spacing w:line="501" w:lineRule="auto"/>
        <w:ind w:left="119" w:right="108"/>
        <w:jc w:val="both"/>
      </w:pPr>
      <w:r>
        <w:rPr>
          <w:w w:val="110"/>
        </w:rPr>
        <w:t>Unlike the method used during the Sochi Games, the Disappearing Positive Methodology was in operation at IAAF World Championships ("IAAF Championships"). The IP also has evidence that sample swapping occurred after the IAAF Championships in respect of positive samples.</w:t>
      </w:r>
    </w:p>
    <w:p>
      <w:pPr>
        <w:pStyle w:val="BodyText"/>
      </w:pPr>
    </w:p>
    <w:p>
      <w:pPr>
        <w:pStyle w:val="BodyText"/>
        <w:spacing w:before="4"/>
        <w:rPr>
          <w:sz w:val="27"/>
        </w:rPr>
      </w:pPr>
    </w:p>
    <w:p>
      <w:pPr>
        <w:pStyle w:val="BodyText"/>
        <w:spacing w:line="504" w:lineRule="auto"/>
        <w:ind w:left="119" w:right="109"/>
        <w:jc w:val="both"/>
      </w:pPr>
      <w:r>
        <w:rPr>
          <w:w w:val="110"/>
        </w:rPr>
        <w:t>The IP investigation, assisted by forensic experts, has conducted its own experiments and can confirm, without any doubt whatsoever, that the caps of urine sample bottles can be removed without any evidence visible to the untrained eye. Indeed, this was demonstrated in front of Professor Richard McLaren. As will be noted later in this report, evidence of tampering could be detected on bottle caps from Sochi and the December 2014 sample seizure by WADA</w:t>
      </w:r>
      <w:r>
        <w:rPr>
          <w:spacing w:val="-14"/>
          <w:w w:val="110"/>
        </w:rPr>
        <w:t> </w:t>
      </w:r>
      <w:r>
        <w:rPr>
          <w:w w:val="110"/>
        </w:rPr>
        <w:t>with</w:t>
      </w:r>
      <w:r>
        <w:rPr>
          <w:spacing w:val="-14"/>
          <w:w w:val="110"/>
        </w:rPr>
        <w:t> </w:t>
      </w:r>
      <w:r>
        <w:rPr>
          <w:w w:val="110"/>
        </w:rPr>
        <w:t>the</w:t>
      </w:r>
      <w:r>
        <w:rPr>
          <w:spacing w:val="-13"/>
          <w:w w:val="110"/>
        </w:rPr>
        <w:t> </w:t>
      </w:r>
      <w:r>
        <w:rPr>
          <w:w w:val="110"/>
        </w:rPr>
        <w:t>use</w:t>
      </w:r>
      <w:r>
        <w:rPr>
          <w:spacing w:val="-13"/>
          <w:w w:val="110"/>
        </w:rPr>
        <w:t> </w:t>
      </w:r>
      <w:r>
        <w:rPr>
          <w:w w:val="110"/>
        </w:rPr>
        <w:t>of</w:t>
      </w:r>
      <w:r>
        <w:rPr>
          <w:spacing w:val="-14"/>
          <w:w w:val="110"/>
        </w:rPr>
        <w:t> </w:t>
      </w:r>
      <w:r>
        <w:rPr>
          <w:w w:val="110"/>
        </w:rPr>
        <w:t>microscopic</w:t>
      </w:r>
      <w:r>
        <w:rPr>
          <w:spacing w:val="-13"/>
          <w:w w:val="110"/>
        </w:rPr>
        <w:t> </w:t>
      </w:r>
      <w:r>
        <w:rPr>
          <w:w w:val="110"/>
        </w:rPr>
        <w:t>technology.</w:t>
      </w:r>
    </w:p>
    <w:p>
      <w:pPr>
        <w:spacing w:after="0" w:line="504" w:lineRule="auto"/>
        <w:jc w:val="both"/>
        <w:sectPr>
          <w:pgSz w:w="12240" w:h="15840"/>
          <w:pgMar w:header="0" w:footer="707" w:top="1500" w:bottom="900" w:left="1700" w:right="1680"/>
        </w:sectPr>
      </w:pPr>
    </w:p>
    <w:p>
      <w:pPr>
        <w:pStyle w:val="BodyText"/>
        <w:rPr>
          <w:sz w:val="20"/>
        </w:rPr>
      </w:pPr>
    </w:p>
    <w:p>
      <w:pPr>
        <w:pStyle w:val="BodyText"/>
        <w:spacing w:before="6"/>
        <w:rPr>
          <w:sz w:val="23"/>
        </w:rPr>
      </w:pPr>
    </w:p>
    <w:p>
      <w:pPr>
        <w:pStyle w:val="BodyText"/>
        <w:spacing w:line="504" w:lineRule="auto" w:before="36"/>
        <w:ind w:left="119" w:right="106"/>
        <w:jc w:val="both"/>
      </w:pPr>
      <w:r>
        <w:rPr>
          <w:w w:val="110"/>
        </w:rPr>
        <w:t>The fundamental building block of the Sochi scheme was in place. The FSB was intricately entwined in the scheme to allow Russian athletes to compete while dirty. The FSB developed a method to surreptitiously open the urine bottles to enable sample swapping. This keystone step cleared the way</w:t>
      </w:r>
      <w:r>
        <w:rPr>
          <w:spacing w:val="66"/>
          <w:w w:val="110"/>
        </w:rPr>
        <w:t> </w:t>
      </w:r>
      <w:r>
        <w:rPr>
          <w:w w:val="110"/>
        </w:rPr>
        <w:t>for</w:t>
      </w:r>
      <w:r>
        <w:rPr>
          <w:spacing w:val="66"/>
          <w:w w:val="110"/>
        </w:rPr>
        <w:t> </w:t>
      </w:r>
      <w:r>
        <w:rPr>
          <w:w w:val="110"/>
        </w:rPr>
        <w:t>the development of a clean urine bank as a source from which to draw urine samples for swapping. The coordinating role for this aspect of the State run system was that of Irina Rodionova. Rodionova currently sits as the Deputy Director of the Center</w:t>
      </w:r>
      <w:r>
        <w:rPr>
          <w:spacing w:val="27"/>
          <w:w w:val="110"/>
        </w:rPr>
        <w:t> </w:t>
      </w:r>
      <w:r>
        <w:rPr>
          <w:w w:val="110"/>
        </w:rPr>
        <w:t>of</w:t>
      </w:r>
      <w:r>
        <w:rPr>
          <w:spacing w:val="28"/>
          <w:w w:val="110"/>
        </w:rPr>
        <w:t> </w:t>
      </w:r>
      <w:r>
        <w:rPr>
          <w:w w:val="110"/>
        </w:rPr>
        <w:t>Sports</w:t>
      </w:r>
      <w:r>
        <w:rPr>
          <w:spacing w:val="29"/>
          <w:w w:val="110"/>
        </w:rPr>
        <w:t> </w:t>
      </w:r>
      <w:r>
        <w:rPr>
          <w:w w:val="110"/>
        </w:rPr>
        <w:t>Preparation</w:t>
      </w:r>
      <w:r>
        <w:rPr>
          <w:spacing w:val="27"/>
          <w:w w:val="110"/>
        </w:rPr>
        <w:t> </w:t>
      </w:r>
      <w:r>
        <w:rPr>
          <w:w w:val="110"/>
        </w:rPr>
        <w:t>of</w:t>
      </w:r>
      <w:r>
        <w:rPr>
          <w:spacing w:val="27"/>
          <w:w w:val="110"/>
        </w:rPr>
        <w:t> </w:t>
      </w:r>
      <w:r>
        <w:rPr>
          <w:w w:val="110"/>
        </w:rPr>
        <w:t>National</w:t>
      </w:r>
      <w:r>
        <w:rPr>
          <w:spacing w:val="24"/>
          <w:w w:val="110"/>
        </w:rPr>
        <w:t> </w:t>
      </w:r>
      <w:r>
        <w:rPr>
          <w:w w:val="110"/>
        </w:rPr>
        <w:t>Teams</w:t>
      </w:r>
      <w:r>
        <w:rPr>
          <w:spacing w:val="28"/>
          <w:w w:val="110"/>
        </w:rPr>
        <w:t> </w:t>
      </w:r>
      <w:r>
        <w:rPr>
          <w:w w:val="110"/>
        </w:rPr>
        <w:t>of</w:t>
      </w:r>
      <w:r>
        <w:rPr>
          <w:spacing w:val="29"/>
          <w:w w:val="110"/>
        </w:rPr>
        <w:t> </w:t>
      </w:r>
      <w:r>
        <w:rPr>
          <w:w w:val="110"/>
        </w:rPr>
        <w:t>Russia</w:t>
      </w:r>
      <w:r>
        <w:rPr>
          <w:spacing w:val="29"/>
          <w:w w:val="110"/>
        </w:rPr>
        <w:t> </w:t>
      </w:r>
      <w:r>
        <w:rPr>
          <w:w w:val="110"/>
        </w:rPr>
        <w:t>("CSP")</w:t>
      </w:r>
      <w:r>
        <w:rPr>
          <w:spacing w:val="30"/>
          <w:w w:val="110"/>
        </w:rPr>
        <w:t> </w:t>
      </w:r>
      <w:r>
        <w:rPr>
          <w:w w:val="110"/>
        </w:rPr>
        <w:t>(in</w:t>
      </w:r>
      <w:r>
        <w:rPr>
          <w:spacing w:val="28"/>
          <w:w w:val="110"/>
        </w:rPr>
        <w:t> </w:t>
      </w:r>
      <w:r>
        <w:rPr>
          <w:w w:val="110"/>
        </w:rPr>
        <w:t>Russian</w:t>
      </w:r>
      <w:r>
        <w:rPr>
          <w:w w:val="116"/>
        </w:rPr>
        <w:t> </w:t>
      </w:r>
      <w:r>
        <w:rPr>
          <w:spacing w:val="4"/>
          <w:w w:val="122"/>
        </w:rPr>
        <w:t>"</w:t>
      </w:r>
      <w:r>
        <w:rPr>
          <w:spacing w:val="4"/>
          <w:w w:val="122"/>
          <w:position w:val="-4"/>
        </w:rPr>
        <w:drawing>
          <wp:inline distT="0" distB="0" distL="0" distR="0">
            <wp:extent cx="315467" cy="132587"/>
            <wp:effectExtent l="0" t="0" r="0" b="0"/>
            <wp:docPr id="9" name="image5.png" descr=""/>
            <wp:cNvGraphicFramePr>
              <a:graphicFrameLocks noChangeAspect="1"/>
            </wp:cNvGraphicFramePr>
            <a:graphic>
              <a:graphicData uri="http://schemas.openxmlformats.org/drawingml/2006/picture">
                <pic:pic>
                  <pic:nvPicPr>
                    <pic:cNvPr id="10" name="image5.png"/>
                    <pic:cNvPicPr/>
                  </pic:nvPicPr>
                  <pic:blipFill>
                    <a:blip r:embed="rId14" cstate="print"/>
                    <a:stretch>
                      <a:fillRect/>
                    </a:stretch>
                  </pic:blipFill>
                  <pic:spPr>
                    <a:xfrm>
                      <a:off x="0" y="0"/>
                      <a:ext cx="315467" cy="132587"/>
                    </a:xfrm>
                    <a:prstGeom prst="rect">
                      <a:avLst/>
                    </a:prstGeom>
                  </pic:spPr>
                </pic:pic>
              </a:graphicData>
            </a:graphic>
          </wp:inline>
        </w:drawing>
      </w:r>
      <w:r>
        <w:rPr>
          <w:spacing w:val="4"/>
          <w:w w:val="122"/>
          <w:position w:val="-4"/>
        </w:rPr>
      </w:r>
      <w:r>
        <w:rPr>
          <w:w w:val="110"/>
        </w:rPr>
        <w:t>"), which is a subordinate organisation of  the Russian Ministry of Sport.</w:t>
      </w:r>
      <w:r>
        <w:rPr>
          <w:spacing w:val="66"/>
          <w:w w:val="110"/>
        </w:rPr>
        <w:t> </w:t>
      </w:r>
      <w:r>
        <w:rPr>
          <w:w w:val="110"/>
        </w:rPr>
        <w:t>She was a staff member of the Russian Olympic Committee ("ROC") during the Sochi 2014 Games as the head of the Monitoring and Management of Medical Anti-doping Programs Department and also on the ROC staff for the London</w:t>
      </w:r>
      <w:r>
        <w:rPr>
          <w:spacing w:val="66"/>
          <w:w w:val="110"/>
        </w:rPr>
        <w:t> </w:t>
      </w:r>
      <w:r>
        <w:rPr>
          <w:w w:val="110"/>
        </w:rPr>
        <w:t>2012</w:t>
      </w:r>
      <w:r>
        <w:rPr>
          <w:spacing w:val="-10"/>
          <w:w w:val="110"/>
        </w:rPr>
        <w:t> </w:t>
      </w:r>
      <w:r>
        <w:rPr>
          <w:w w:val="110"/>
        </w:rPr>
        <w:t>Games</w:t>
      </w:r>
      <w:r>
        <w:rPr>
          <w:spacing w:val="-8"/>
          <w:w w:val="110"/>
        </w:rPr>
        <w:t> </w:t>
      </w:r>
      <w:r>
        <w:rPr>
          <w:w w:val="110"/>
        </w:rPr>
        <w:t>as</w:t>
      </w:r>
      <w:r>
        <w:rPr>
          <w:spacing w:val="-10"/>
          <w:w w:val="110"/>
        </w:rPr>
        <w:t> </w:t>
      </w:r>
      <w:r>
        <w:rPr>
          <w:w w:val="110"/>
        </w:rPr>
        <w:t>the</w:t>
      </w:r>
      <w:r>
        <w:rPr>
          <w:spacing w:val="-10"/>
          <w:w w:val="110"/>
        </w:rPr>
        <w:t> </w:t>
      </w:r>
      <w:r>
        <w:rPr>
          <w:w w:val="110"/>
        </w:rPr>
        <w:t>head</w:t>
      </w:r>
      <w:r>
        <w:rPr>
          <w:spacing w:val="-10"/>
          <w:w w:val="110"/>
        </w:rPr>
        <w:t> </w:t>
      </w:r>
      <w:r>
        <w:rPr>
          <w:w w:val="110"/>
        </w:rPr>
        <w:t>of</w:t>
      </w:r>
      <w:r>
        <w:rPr>
          <w:spacing w:val="-8"/>
          <w:w w:val="110"/>
        </w:rPr>
        <w:t> </w:t>
      </w:r>
      <w:r>
        <w:rPr>
          <w:w w:val="110"/>
        </w:rPr>
        <w:t>the</w:t>
      </w:r>
      <w:r>
        <w:rPr>
          <w:spacing w:val="-10"/>
          <w:w w:val="110"/>
        </w:rPr>
        <w:t> </w:t>
      </w:r>
      <w:r>
        <w:rPr>
          <w:w w:val="110"/>
        </w:rPr>
        <w:t>Medical</w:t>
      </w:r>
      <w:r>
        <w:rPr>
          <w:spacing w:val="-10"/>
          <w:w w:val="110"/>
        </w:rPr>
        <w:t> </w:t>
      </w:r>
      <w:r>
        <w:rPr>
          <w:w w:val="110"/>
        </w:rPr>
        <w:t>and</w:t>
      </w:r>
      <w:r>
        <w:rPr>
          <w:spacing w:val="-10"/>
          <w:w w:val="110"/>
        </w:rPr>
        <w:t> </w:t>
      </w:r>
      <w:r>
        <w:rPr>
          <w:w w:val="110"/>
        </w:rPr>
        <w:t>Research</w:t>
      </w:r>
      <w:r>
        <w:rPr>
          <w:spacing w:val="-11"/>
          <w:w w:val="110"/>
        </w:rPr>
        <w:t> </w:t>
      </w:r>
      <w:r>
        <w:rPr>
          <w:w w:val="110"/>
        </w:rPr>
        <w:t>Department.</w:t>
      </w:r>
    </w:p>
    <w:p>
      <w:pPr>
        <w:pStyle w:val="BodyText"/>
      </w:pPr>
    </w:p>
    <w:p>
      <w:pPr>
        <w:pStyle w:val="BodyText"/>
        <w:spacing w:before="2"/>
        <w:rPr>
          <w:sz w:val="27"/>
        </w:rPr>
      </w:pPr>
    </w:p>
    <w:p>
      <w:pPr>
        <w:pStyle w:val="BodyText"/>
        <w:spacing w:line="504" w:lineRule="auto"/>
        <w:ind w:left="119" w:right="107"/>
        <w:jc w:val="both"/>
      </w:pPr>
      <w:r>
        <w:rPr>
          <w:w w:val="110"/>
        </w:rPr>
        <w:t>Athletes, on instruction, would collect what were thought to be clean urine samples outside of the wash out periods for any PEDs they were using. Rodionova would receive these samples from athletes and arrange for their freezer storage at the CSP. Dr. Rodchenkov would test some of these clean urine samples to ensure they were in fact not positive.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2"/>
        </w:rPr>
      </w:pPr>
      <w:r>
        <w:rPr/>
        <w:pict>
          <v:group style="position:absolute;margin-left:510.720001pt;margin-top:15.093167pt;width:11.3pt;height:8.3pt;mso-position-horizontal-relative:page;mso-position-vertical-relative:paragraph;z-index:1096;mso-wrap-distance-left:0;mso-wrap-distance-right:0" coordorigin="10214,302" coordsize="226,166">
            <v:shape style="position:absolute;left:10214;top:302;width:96;height:164" coordorigin="10214,302" coordsize="96,164" path="m10310,455l10222,455,10222,465,10310,465,10310,455xm10291,453l10241,453,10236,455,10296,455,10291,453xm10277,331l10253,331,10253,333,10255,333,10255,443,10253,446,10253,448,10250,448,10250,451,10248,453,10286,453,10284,451,10282,451,10277,446,10277,331xm10277,302l10270,302,10214,335,10219,345,10234,335,10243,331,10277,331,10277,302xe" filled="true" fillcolor="#000000" stroked="false">
              <v:path arrowok="t"/>
              <v:fill type="solid"/>
            </v:shape>
            <v:shape style="position:absolute;left:10344;top:302;width:96;height:166" coordorigin="10344,302" coordsize="96,166" path="m10358,434l10344,434,10344,460,10351,463,10358,463,10373,467,10399,467,10409,465,10416,460,10426,458,10380,458,10370,453,10366,448,10361,441,10358,434xm10430,311l10399,311,10404,314,10414,323,10416,331,10416,352,10411,359,10409,364,10402,369,10394,371,10387,376,10380,379,10368,379,10368,388,10392,388,10402,391,10409,398,10416,403,10418,412,10418,436,10416,443,10411,448,10406,455,10399,458,10426,458,10435,443,10440,429,10440,410,10433,395,10423,386,10418,383,10414,383,10409,381,10404,381,10404,379,10414,376,10423,367,10428,364,10433,359,10438,350,10438,323,10433,319,10430,311xm10404,302l10380,302,10366,307,10356,309,10346,314,10346,335,10361,335,10363,328,10368,321,10375,314,10382,311,10430,311,10426,309,10404,302xe" filled="true" fillcolor="#000000" stroked="false">
              <v:path arrowok="t"/>
              <v:fill type="solid"/>
            </v:shape>
            <w10:wrap type="topAndBottom"/>
          </v:group>
        </w:pict>
      </w:r>
    </w:p>
    <w:p>
      <w:pPr>
        <w:spacing w:after="0"/>
        <w:rPr>
          <w:sz w:val="22"/>
        </w:rPr>
        <w:sectPr>
          <w:footerReference w:type="default" r:id="rId13"/>
          <w:pgSz w:w="12240" w:h="15840"/>
          <w:pgMar w:footer="0" w:header="0" w:top="1500" w:bottom="280" w:left="1700" w:right="1680"/>
        </w:sectPr>
      </w:pPr>
    </w:p>
    <w:p>
      <w:pPr>
        <w:pStyle w:val="BodyText"/>
        <w:spacing w:line="504" w:lineRule="auto" w:before="16"/>
        <w:ind w:left="119" w:right="108"/>
        <w:jc w:val="both"/>
      </w:pPr>
      <w:r>
        <w:rPr>
          <w:w w:val="110"/>
        </w:rPr>
        <w:t>Once the clean urine bank was fully populated by the chosen athletes, the samples were then secretly transported by the FSB from Moscow to the FSB storage freezer in the FSB building located next to the Sochi Laboratory. The bank of clean urine sat in storage awaiting the swapping program at Sochi when required.</w:t>
      </w:r>
    </w:p>
    <w:p>
      <w:pPr>
        <w:pStyle w:val="BodyText"/>
      </w:pPr>
    </w:p>
    <w:p>
      <w:pPr>
        <w:pStyle w:val="BodyText"/>
        <w:spacing w:before="8"/>
      </w:pPr>
    </w:p>
    <w:p>
      <w:pPr>
        <w:spacing w:before="0"/>
        <w:ind w:left="119" w:right="0" w:firstLine="0"/>
        <w:jc w:val="both"/>
        <w:rPr>
          <w:sz w:val="24"/>
        </w:rPr>
      </w:pPr>
      <w:r>
        <w:rPr>
          <w:w w:val="110"/>
          <w:sz w:val="24"/>
        </w:rPr>
        <w:t>The swapping occurred largely as described in </w:t>
      </w:r>
      <w:r>
        <w:rPr>
          <w:rFonts w:ascii="Palatino Linotype"/>
          <w:i/>
          <w:w w:val="110"/>
          <w:sz w:val="24"/>
        </w:rPr>
        <w:t>The New York Times </w:t>
      </w:r>
      <w:r>
        <w:rPr>
          <w:w w:val="110"/>
          <w:sz w:val="24"/>
        </w:rPr>
        <w:t>article.   Dr.</w:t>
      </w:r>
    </w:p>
    <w:p>
      <w:pPr>
        <w:pStyle w:val="BodyText"/>
        <w:spacing w:before="8"/>
      </w:pPr>
    </w:p>
    <w:p>
      <w:pPr>
        <w:pStyle w:val="BodyText"/>
        <w:spacing w:line="504" w:lineRule="auto" w:before="1"/>
        <w:ind w:left="119" w:right="105"/>
        <w:jc w:val="both"/>
      </w:pPr>
      <w:r>
        <w:rPr>
          <w:w w:val="110"/>
        </w:rPr>
        <w:t>Rodchenkov provided credible evidence that the A and B bottles would pass through the "mouse hole" from the aliquoting room inside the secure perimeter</w:t>
      </w:r>
      <w:r>
        <w:rPr>
          <w:spacing w:val="66"/>
          <w:w w:val="110"/>
        </w:rPr>
        <w:t> </w:t>
      </w:r>
      <w:r>
        <w:rPr>
          <w:w w:val="110"/>
        </w:rPr>
        <w:t>of the Sochi Laboratory into an adjacent operations room, outside the secure perimeter. From there, FSB officer Evgeny Blokhin would take the B bottles and leave the operations room. In the meantime, clean urine from the athletes who had given their sample at a Sochi doping control venue would be withdrawn </w:t>
      </w:r>
      <w:r>
        <w:rPr>
          <w:spacing w:val="66"/>
          <w:w w:val="110"/>
        </w:rPr>
        <w:t> </w:t>
      </w:r>
      <w:r>
        <w:rPr>
          <w:w w:val="110"/>
        </w:rPr>
        <w:t>from the freezer at the FSB building and brought over to the operations room to complete its thawing there. The B sample bottle would be returned to the operations room by FSB Blokhin, open and with the cap removed. The dirty</w:t>
      </w:r>
      <w:r>
        <w:rPr>
          <w:spacing w:val="66"/>
          <w:w w:val="110"/>
        </w:rPr>
        <w:t> </w:t>
      </w:r>
      <w:r>
        <w:rPr>
          <w:w w:val="110"/>
        </w:rPr>
        <w:t>urine disposed of and replaced by clean urine would be put in the A and B</w:t>
      </w:r>
      <w:r>
        <w:rPr>
          <w:spacing w:val="66"/>
          <w:w w:val="110"/>
        </w:rPr>
        <w:t> </w:t>
      </w:r>
      <w:r>
        <w:rPr>
          <w:w w:val="110"/>
        </w:rPr>
        <w:t>bottles. The stopper replaced in the A bottle and the B bottle cap screwed back into place; the bottles would be passed back through the mouse hole thereby reentering the secure perimeter of the laboratory aliquoting room ready for clinical bench work the following</w:t>
      </w:r>
      <w:r>
        <w:rPr>
          <w:spacing w:val="-14"/>
          <w:w w:val="110"/>
        </w:rPr>
        <w:t> </w:t>
      </w:r>
      <w:r>
        <w:rPr>
          <w:w w:val="110"/>
        </w:rPr>
        <w:t>morning.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2"/>
        </w:rPr>
      </w:pPr>
      <w:r>
        <w:rPr/>
        <w:drawing>
          <wp:anchor distT="0" distB="0" distL="0" distR="0" allowOverlap="1" layoutInCell="1" locked="0" behindDoc="0" simplePos="0" relativeHeight="1120">
            <wp:simplePos x="0" y="0"/>
            <wp:positionH relativeFrom="page">
              <wp:posOffset>6486144</wp:posOffset>
            </wp:positionH>
            <wp:positionV relativeFrom="paragraph">
              <wp:posOffset>117998</wp:posOffset>
            </wp:positionV>
            <wp:extent cx="147979" cy="102679"/>
            <wp:effectExtent l="0" t="0" r="0" b="0"/>
            <wp:wrapTopAndBottom/>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6" cstate="print"/>
                    <a:stretch>
                      <a:fillRect/>
                    </a:stretch>
                  </pic:blipFill>
                  <pic:spPr>
                    <a:xfrm>
                      <a:off x="0" y="0"/>
                      <a:ext cx="147979" cy="102679"/>
                    </a:xfrm>
                    <a:prstGeom prst="rect">
                      <a:avLst/>
                    </a:prstGeom>
                  </pic:spPr>
                </pic:pic>
              </a:graphicData>
            </a:graphic>
          </wp:anchor>
        </w:drawing>
      </w:r>
    </w:p>
    <w:p>
      <w:pPr>
        <w:spacing w:after="0"/>
        <w:rPr>
          <w:sz w:val="12"/>
        </w:rPr>
        <w:sectPr>
          <w:footerReference w:type="default" r:id="rId15"/>
          <w:pgSz w:w="12240" w:h="15840"/>
          <w:pgMar w:footer="0" w:header="0" w:top="1440" w:bottom="280" w:left="1700" w:right="1680"/>
        </w:sectPr>
      </w:pPr>
    </w:p>
    <w:p>
      <w:pPr>
        <w:pStyle w:val="BodyText"/>
        <w:spacing w:line="504" w:lineRule="auto" w:before="16"/>
        <w:ind w:left="119" w:right="107"/>
        <w:jc w:val="both"/>
      </w:pPr>
      <w:r>
        <w:rPr>
          <w:w w:val="110"/>
        </w:rPr>
        <w:t>Dr. Rodchenkov's role in the sample swapping scheme  included ensuring that</w:t>
      </w:r>
      <w:r>
        <w:rPr>
          <w:spacing w:val="66"/>
          <w:w w:val="110"/>
        </w:rPr>
        <w:t> </w:t>
      </w:r>
      <w:r>
        <w:rPr>
          <w:w w:val="110"/>
        </w:rPr>
        <w:t>the substituted sample was manipulated to match as closely as possible the Specific Gravity (SG) indicated on the original Doping Control Form ("DCF") taken at the Sochi venue. This adjustment was accomplished by adding table salt to raise the clean urine SG or distilled water to dilute the clean urine sample so as to</w:t>
      </w:r>
      <w:r>
        <w:rPr>
          <w:spacing w:val="-8"/>
          <w:w w:val="110"/>
        </w:rPr>
        <w:t> </w:t>
      </w:r>
      <w:r>
        <w:rPr>
          <w:w w:val="110"/>
        </w:rPr>
        <w:t>closely</w:t>
      </w:r>
      <w:r>
        <w:rPr>
          <w:spacing w:val="-11"/>
          <w:w w:val="110"/>
        </w:rPr>
        <w:t> </w:t>
      </w:r>
      <w:r>
        <w:rPr>
          <w:w w:val="110"/>
        </w:rPr>
        <w:t>match</w:t>
      </w:r>
      <w:r>
        <w:rPr>
          <w:spacing w:val="-7"/>
          <w:w w:val="110"/>
        </w:rPr>
        <w:t> </w:t>
      </w:r>
      <w:r>
        <w:rPr>
          <w:w w:val="110"/>
        </w:rPr>
        <w:t>the</w:t>
      </w:r>
      <w:r>
        <w:rPr>
          <w:spacing w:val="-11"/>
          <w:w w:val="110"/>
        </w:rPr>
        <w:t> </w:t>
      </w:r>
      <w:r>
        <w:rPr>
          <w:w w:val="110"/>
        </w:rPr>
        <w:t>SG</w:t>
      </w:r>
      <w:r>
        <w:rPr>
          <w:spacing w:val="-8"/>
          <w:w w:val="110"/>
        </w:rPr>
        <w:t> </w:t>
      </w:r>
      <w:r>
        <w:rPr>
          <w:w w:val="110"/>
        </w:rPr>
        <w:t>number</w:t>
      </w:r>
      <w:r>
        <w:rPr>
          <w:spacing w:val="-8"/>
          <w:w w:val="110"/>
        </w:rPr>
        <w:t> </w:t>
      </w:r>
      <w:r>
        <w:rPr>
          <w:w w:val="110"/>
        </w:rPr>
        <w:t>on</w:t>
      </w:r>
      <w:r>
        <w:rPr>
          <w:spacing w:val="-8"/>
          <w:w w:val="110"/>
        </w:rPr>
        <w:t> </w:t>
      </w:r>
      <w:r>
        <w:rPr>
          <w:w w:val="110"/>
        </w:rPr>
        <w:t>the</w:t>
      </w:r>
      <w:r>
        <w:rPr>
          <w:spacing w:val="-8"/>
          <w:w w:val="110"/>
        </w:rPr>
        <w:t> </w:t>
      </w:r>
      <w:r>
        <w:rPr>
          <w:w w:val="110"/>
        </w:rPr>
        <w:t>DCF.</w:t>
      </w:r>
    </w:p>
    <w:p>
      <w:pPr>
        <w:pStyle w:val="BodyText"/>
      </w:pPr>
    </w:p>
    <w:p>
      <w:pPr>
        <w:pStyle w:val="BodyText"/>
        <w:spacing w:before="8"/>
      </w:pPr>
    </w:p>
    <w:p>
      <w:pPr>
        <w:pStyle w:val="BodyText"/>
        <w:spacing w:line="448" w:lineRule="auto"/>
        <w:ind w:left="119" w:right="102"/>
        <w:jc w:val="both"/>
      </w:pPr>
      <w:r>
        <w:rPr>
          <w:w w:val="110"/>
        </w:rPr>
        <w:t>The veracity of Dr. Rodchenkov's statements to </w:t>
      </w:r>
      <w:r>
        <w:rPr>
          <w:rFonts w:ascii="Palatino Linotype"/>
          <w:i/>
          <w:w w:val="110"/>
        </w:rPr>
        <w:t>The New York Times </w:t>
      </w:r>
      <w:r>
        <w:rPr>
          <w:w w:val="110"/>
        </w:rPr>
        <w:t>article is supported by the forensic analysis of the IP which included laboratory analysis</w:t>
      </w:r>
    </w:p>
    <w:p>
      <w:pPr>
        <w:pStyle w:val="BodyText"/>
        <w:spacing w:line="504" w:lineRule="auto" w:before="73"/>
        <w:ind w:left="119" w:right="109"/>
        <w:jc w:val="both"/>
      </w:pPr>
      <w:r>
        <w:rPr>
          <w:w w:val="110"/>
        </w:rPr>
        <w:t>of the salt content of samples selected by the investigative team. The London WADA accredited Laboratory, at the request of the IP, advised that of the forensically representative samples tested, 6 had salt contents higher than what should be found in urine of a healthy human. The forensic examination for</w:t>
      </w:r>
      <w:r>
        <w:rPr>
          <w:spacing w:val="66"/>
          <w:w w:val="110"/>
        </w:rPr>
        <w:t> </w:t>
      </w:r>
      <w:r>
        <w:rPr>
          <w:w w:val="110"/>
        </w:rPr>
        <w:t>marks and scratches within the bottle caps confirmed that they had been</w:t>
      </w:r>
      <w:r>
        <w:rPr>
          <w:spacing w:val="66"/>
          <w:w w:val="110"/>
        </w:rPr>
        <w:t> </w:t>
      </w:r>
      <w:r>
        <w:rPr>
          <w:w w:val="110"/>
        </w:rPr>
        <w:t>tampered with.  Both findings support the evidence of Dr.</w:t>
      </w:r>
      <w:r>
        <w:rPr>
          <w:spacing w:val="-7"/>
          <w:w w:val="110"/>
        </w:rPr>
        <w:t> </w:t>
      </w:r>
      <w:r>
        <w:rPr>
          <w:w w:val="110"/>
        </w:rPr>
        <w:t>Rodchenkov.</w:t>
      </w:r>
    </w:p>
    <w:p>
      <w:pPr>
        <w:pStyle w:val="BodyText"/>
      </w:pPr>
    </w:p>
    <w:p>
      <w:pPr>
        <w:pStyle w:val="BodyText"/>
        <w:spacing w:before="3"/>
        <w:rPr>
          <w:sz w:val="27"/>
        </w:rPr>
      </w:pPr>
    </w:p>
    <w:p>
      <w:pPr>
        <w:pStyle w:val="BodyText"/>
        <w:spacing w:line="504" w:lineRule="auto"/>
        <w:ind w:left="119" w:right="108"/>
        <w:jc w:val="both"/>
      </w:pPr>
      <w:r>
        <w:rPr>
          <w:w w:val="110"/>
        </w:rPr>
        <w:t>The Sochi sample swapping methodology was a unique situation, required because of the presence of the international community in the Laboratory. It enabled Russian athletes to compete dirty while enjoying certainty that their anti- doping samples would be reported clean. Following the Winter Olympics, the scheme to cover up State sponsored doping returned to the  Disappearing</w:t>
      </w:r>
      <w:r>
        <w:rPr>
          <w:spacing w:val="66"/>
          <w:w w:val="110"/>
        </w:rPr>
        <w:t> </w:t>
      </w:r>
      <w:r>
        <w:rPr>
          <w:w w:val="110"/>
        </w:rPr>
        <w:t>Positive Methodology described</w:t>
      </w:r>
      <w:r>
        <w:rPr>
          <w:spacing w:val="-4"/>
          <w:w w:val="110"/>
        </w:rPr>
        <w:t> </w:t>
      </w:r>
      <w:r>
        <w:rPr>
          <w:w w:val="110"/>
        </w:rPr>
        <w:t>previously.</w:t>
      </w:r>
    </w:p>
    <w:p>
      <w:pPr>
        <w:spacing w:after="0" w:line="504" w:lineRule="auto"/>
        <w:jc w:val="both"/>
        <w:sectPr>
          <w:footerReference w:type="default" r:id="rId17"/>
          <w:pgSz w:w="12240" w:h="15840"/>
          <w:pgMar w:footer="707" w:header="0" w:top="1440" w:bottom="900" w:left="1700" w:right="1680"/>
        </w:sectPr>
      </w:pPr>
    </w:p>
    <w:p>
      <w:pPr>
        <w:pStyle w:val="BodyText"/>
        <w:rPr>
          <w:sz w:val="20"/>
        </w:rPr>
      </w:pPr>
    </w:p>
    <w:p>
      <w:pPr>
        <w:pStyle w:val="BodyText"/>
        <w:spacing w:before="6"/>
        <w:rPr>
          <w:sz w:val="23"/>
        </w:rPr>
      </w:pPr>
    </w:p>
    <w:p>
      <w:pPr>
        <w:pStyle w:val="BodyText"/>
        <w:spacing w:line="504" w:lineRule="auto" w:before="36"/>
        <w:ind w:left="119" w:right="107"/>
        <w:jc w:val="both"/>
      </w:pPr>
      <w:r>
        <w:rPr>
          <w:w w:val="110"/>
        </w:rPr>
        <w:t>The</w:t>
      </w:r>
      <w:r>
        <w:rPr>
          <w:spacing w:val="-11"/>
          <w:w w:val="110"/>
        </w:rPr>
        <w:t> </w:t>
      </w:r>
      <w:r>
        <w:rPr>
          <w:w w:val="110"/>
        </w:rPr>
        <w:t>first</w:t>
      </w:r>
      <w:r>
        <w:rPr>
          <w:spacing w:val="-11"/>
          <w:w w:val="110"/>
        </w:rPr>
        <w:t> </w:t>
      </w:r>
      <w:r>
        <w:rPr>
          <w:w w:val="110"/>
        </w:rPr>
        <w:t>ARD</w:t>
      </w:r>
      <w:r>
        <w:rPr>
          <w:spacing w:val="-10"/>
          <w:w w:val="110"/>
        </w:rPr>
        <w:t> </w:t>
      </w:r>
      <w:r>
        <w:rPr>
          <w:w w:val="110"/>
        </w:rPr>
        <w:t>documentary</w:t>
      </w:r>
      <w:r>
        <w:rPr>
          <w:spacing w:val="-13"/>
          <w:w w:val="110"/>
        </w:rPr>
        <w:t> </w:t>
      </w:r>
      <w:r>
        <w:rPr>
          <w:w w:val="110"/>
        </w:rPr>
        <w:t>aired</w:t>
      </w:r>
      <w:r>
        <w:rPr>
          <w:spacing w:val="-12"/>
          <w:w w:val="110"/>
        </w:rPr>
        <w:t> </w:t>
      </w:r>
      <w:r>
        <w:rPr>
          <w:w w:val="110"/>
        </w:rPr>
        <w:t>in</w:t>
      </w:r>
      <w:r>
        <w:rPr>
          <w:spacing w:val="-11"/>
          <w:w w:val="110"/>
        </w:rPr>
        <w:t> </w:t>
      </w:r>
      <w:r>
        <w:rPr>
          <w:w w:val="110"/>
        </w:rPr>
        <w:t>early</w:t>
      </w:r>
      <w:r>
        <w:rPr>
          <w:spacing w:val="-11"/>
          <w:w w:val="110"/>
        </w:rPr>
        <w:t> </w:t>
      </w:r>
      <w:r>
        <w:rPr>
          <w:w w:val="110"/>
        </w:rPr>
        <w:t>December</w:t>
      </w:r>
      <w:r>
        <w:rPr>
          <w:spacing w:val="-11"/>
          <w:w w:val="110"/>
        </w:rPr>
        <w:t> </w:t>
      </w:r>
      <w:r>
        <w:rPr>
          <w:w w:val="110"/>
        </w:rPr>
        <w:t>of</w:t>
      </w:r>
      <w:r>
        <w:rPr>
          <w:spacing w:val="-13"/>
          <w:w w:val="110"/>
        </w:rPr>
        <w:t> </w:t>
      </w:r>
      <w:r>
        <w:rPr>
          <w:w w:val="110"/>
        </w:rPr>
        <w:t>2014.</w:t>
      </w:r>
      <w:r>
        <w:rPr>
          <w:spacing w:val="43"/>
          <w:w w:val="110"/>
        </w:rPr>
        <w:t> </w:t>
      </w:r>
      <w:r>
        <w:rPr>
          <w:w w:val="110"/>
        </w:rPr>
        <w:t>The</w:t>
      </w:r>
      <w:r>
        <w:rPr>
          <w:spacing w:val="-14"/>
          <w:w w:val="110"/>
        </w:rPr>
        <w:t> </w:t>
      </w:r>
      <w:r>
        <w:rPr>
          <w:w w:val="110"/>
        </w:rPr>
        <w:t>concerns</w:t>
      </w:r>
      <w:r>
        <w:rPr>
          <w:spacing w:val="-12"/>
          <w:w w:val="110"/>
        </w:rPr>
        <w:t> </w:t>
      </w:r>
      <w:r>
        <w:rPr>
          <w:w w:val="110"/>
        </w:rPr>
        <w:t>of</w:t>
      </w:r>
      <w:r>
        <w:rPr>
          <w:spacing w:val="-11"/>
          <w:w w:val="110"/>
        </w:rPr>
        <w:t> </w:t>
      </w:r>
      <w:r>
        <w:rPr>
          <w:w w:val="110"/>
        </w:rPr>
        <w:t>the international sporting community led to the appointment of the IC, one of the Commissioners of whom was subsequently to become the IP. In connection with the creation of the IC, but not by way of direction of the IC, Dr. Olivier Rabin from WADA asked the Moscow laboratory to prepare for a visit during which</w:t>
      </w:r>
      <w:r>
        <w:rPr>
          <w:spacing w:val="66"/>
          <w:w w:val="110"/>
        </w:rPr>
        <w:t> </w:t>
      </w:r>
      <w:r>
        <w:rPr>
          <w:w w:val="110"/>
        </w:rPr>
        <w:t>the samples stored in the laboratory would be packed up and shipped out of the country for storage and further</w:t>
      </w:r>
      <w:r>
        <w:rPr>
          <w:spacing w:val="26"/>
          <w:w w:val="110"/>
        </w:rPr>
        <w:t> </w:t>
      </w:r>
      <w:r>
        <w:rPr>
          <w:w w:val="110"/>
        </w:rPr>
        <w:t>analysis.</w:t>
      </w:r>
    </w:p>
    <w:p>
      <w:pPr>
        <w:pStyle w:val="BodyText"/>
      </w:pPr>
    </w:p>
    <w:p>
      <w:pPr>
        <w:pStyle w:val="BodyText"/>
        <w:spacing w:before="2"/>
        <w:rPr>
          <w:sz w:val="27"/>
        </w:rPr>
      </w:pPr>
    </w:p>
    <w:p>
      <w:pPr>
        <w:pStyle w:val="BodyText"/>
        <w:spacing w:line="504" w:lineRule="auto"/>
        <w:ind w:left="119" w:right="107"/>
        <w:jc w:val="both"/>
      </w:pPr>
      <w:r>
        <w:rPr>
          <w:w w:val="110"/>
        </w:rPr>
        <w:t>The anxiety level of personnel in the laboratory rose because of the pending WADA visit. The Disappearing Positive Methodology was used during the summer of 2014. As a consequence, Dr. Rodchenkov knew that he would have dirty B samples from that period. A number of dirty samples had been collected and reported as negative, and were stored in the laboratory. The solution to the problem in part was to destroy thousands of samples obtained and stored prior </w:t>
      </w:r>
      <w:r>
        <w:rPr>
          <w:spacing w:val="66"/>
          <w:w w:val="110"/>
        </w:rPr>
        <w:t> </w:t>
      </w:r>
      <w:r>
        <w:rPr>
          <w:w w:val="110"/>
        </w:rPr>
        <w:t>to 10 September 2014, being the minimal 90-day period of storage as prescribed under the ISL. However, the massive destruction of samples only got rid of part of the problem. Still to be dealt with were the samples between 10 September 2014</w:t>
      </w:r>
      <w:r>
        <w:rPr>
          <w:spacing w:val="-39"/>
          <w:w w:val="110"/>
        </w:rPr>
        <w:t> </w:t>
      </w:r>
      <w:r>
        <w:rPr>
          <w:w w:val="110"/>
        </w:rPr>
        <w:t>and</w:t>
      </w:r>
      <w:r>
        <w:rPr>
          <w:spacing w:val="-39"/>
          <w:w w:val="110"/>
        </w:rPr>
        <w:t> </w:t>
      </w:r>
      <w:r>
        <w:rPr>
          <w:w w:val="110"/>
        </w:rPr>
        <w:t>10</w:t>
      </w:r>
      <w:r>
        <w:rPr>
          <w:spacing w:val="-39"/>
          <w:w w:val="110"/>
        </w:rPr>
        <w:t> </w:t>
      </w:r>
      <w:r>
        <w:rPr>
          <w:w w:val="110"/>
        </w:rPr>
        <w:t>December</w:t>
      </w:r>
      <w:r>
        <w:rPr>
          <w:spacing w:val="-37"/>
          <w:w w:val="110"/>
        </w:rPr>
        <w:t> </w:t>
      </w:r>
      <w:r>
        <w:rPr>
          <w:w w:val="110"/>
        </w:rPr>
        <w:t>2014.</w:t>
      </w:r>
    </w:p>
    <w:p>
      <w:pPr>
        <w:pStyle w:val="BodyText"/>
      </w:pPr>
    </w:p>
    <w:p>
      <w:pPr>
        <w:pStyle w:val="BodyText"/>
        <w:spacing w:before="2"/>
        <w:rPr>
          <w:sz w:val="27"/>
        </w:rPr>
      </w:pPr>
    </w:p>
    <w:p>
      <w:pPr>
        <w:pStyle w:val="BodyText"/>
        <w:spacing w:line="504" w:lineRule="auto"/>
        <w:ind w:left="119" w:right="109"/>
        <w:jc w:val="both"/>
      </w:pPr>
      <w:r>
        <w:rPr>
          <w:w w:val="110"/>
        </w:rPr>
        <w:t>Dr Rodchenkov prepared a schedule of 37 athletes whose samples were potentially a problem if another accredited laboratory were to analyze them.     A</w:t>
      </w:r>
    </w:p>
    <w:p>
      <w:pPr>
        <w:spacing w:after="0" w:line="504" w:lineRule="auto"/>
        <w:jc w:val="both"/>
        <w:sectPr>
          <w:pgSz w:w="12240" w:h="15840"/>
          <w:pgMar w:header="0" w:footer="707" w:top="1500" w:bottom="900" w:left="1700" w:right="1680"/>
        </w:sectPr>
      </w:pPr>
    </w:p>
    <w:p>
      <w:pPr>
        <w:pStyle w:val="BodyText"/>
        <w:spacing w:line="504" w:lineRule="auto" w:before="16"/>
        <w:ind w:left="119" w:right="107"/>
        <w:jc w:val="both"/>
      </w:pPr>
      <w:r>
        <w:rPr>
          <w:w w:val="110"/>
        </w:rPr>
        <w:t>meeting was held with Deputy Minister Nagornykh in which the jeopardy of the laboratory was discussed were something not done to deal with the selected samples. The upshot of that meeting was that Deputy Minister Nagornykh resolved to call in the "magicians". That night the FSB visited the laboratory and the next day sample bottles were in the laboratory without their caps. The IP found that these samples all had negative findings recorded on ADAMS.</w:t>
      </w:r>
    </w:p>
    <w:p>
      <w:pPr>
        <w:pStyle w:val="BodyText"/>
      </w:pPr>
    </w:p>
    <w:p>
      <w:pPr>
        <w:pStyle w:val="BodyText"/>
        <w:spacing w:before="2"/>
        <w:rPr>
          <w:sz w:val="27"/>
        </w:rPr>
      </w:pPr>
    </w:p>
    <w:p>
      <w:pPr>
        <w:pStyle w:val="BodyText"/>
        <w:spacing w:line="504" w:lineRule="auto"/>
        <w:ind w:left="119" w:right="107"/>
        <w:jc w:val="both"/>
      </w:pPr>
      <w:r>
        <w:rPr>
          <w:w w:val="110"/>
        </w:rPr>
        <w:t>The IP forensic examination of these bottles found evidence of scratches and marks confirmed tampering. A urine examination of 3 of the samples showed</w:t>
      </w:r>
      <w:r>
        <w:rPr>
          <w:spacing w:val="66"/>
          <w:w w:val="110"/>
        </w:rPr>
        <w:t> </w:t>
      </w:r>
      <w:r>
        <w:rPr>
          <w:w w:val="110"/>
        </w:rPr>
        <w:t>that the DNA was not that of the athlete</w:t>
      </w:r>
      <w:r>
        <w:rPr>
          <w:spacing w:val="6"/>
          <w:w w:val="110"/>
        </w:rPr>
        <w:t> </w:t>
      </w:r>
      <w:r>
        <w:rPr>
          <w:w w:val="110"/>
        </w:rPr>
        <w:t>involved.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6"/>
        </w:rPr>
      </w:pPr>
      <w:r>
        <w:rPr/>
        <w:pict>
          <v:group style="position:absolute;margin-left:510.720001pt;margin-top:17.057585pt;width:11.65pt;height:8.2pt;mso-position-horizontal-relative:page;mso-position-vertical-relative:paragraph;z-index:1144;mso-wrap-distance-left:0;mso-wrap-distance-right:0" coordorigin="10214,341" coordsize="233,164">
            <v:shape style="position:absolute;left:10214;top:341;width:96;height:164" coordorigin="10214,341" coordsize="96,164" path="m10310,495l10222,495,10222,504,10310,504,10310,495xm10291,492l10241,492,10236,495,10296,495,10291,492xm10277,370l10253,370,10253,372,10255,372,10255,483,10253,485,10253,488,10250,488,10250,490,10248,492,10286,492,10284,490,10282,490,10277,485,10277,370xm10277,341l10270,341,10214,375,10219,384,10234,375,10243,370,10277,370,10277,341xe" filled="true" fillcolor="#000000" stroked="false">
              <v:path arrowok="t"/>
              <v:fill type="solid"/>
            </v:shape>
            <v:shape style="position:absolute;left:10344;top:344;width:103;height:161" type="#_x0000_t75" stroked="false">
              <v:imagedata r:id="rId19" o:title=""/>
            </v:shape>
            <w10:wrap type="topAndBottom"/>
          </v:group>
        </w:pict>
      </w:r>
    </w:p>
    <w:p>
      <w:pPr>
        <w:spacing w:after="0"/>
        <w:rPr>
          <w:sz w:val="26"/>
        </w:rPr>
        <w:sectPr>
          <w:footerReference w:type="default" r:id="rId18"/>
          <w:pgSz w:w="12240" w:h="15840"/>
          <w:pgMar w:footer="0" w:header="0" w:top="1440" w:bottom="280" w:left="1700" w:right="1680"/>
        </w:sectPr>
      </w:pPr>
    </w:p>
    <w:p>
      <w:pPr>
        <w:pStyle w:val="Heading1"/>
        <w:spacing w:line="342" w:lineRule="exact"/>
      </w:pPr>
      <w:bookmarkStart w:name="_TOC_250005" w:id="3"/>
      <w:bookmarkEnd w:id="3"/>
      <w:r>
        <w:rPr>
          <w:w w:val="105"/>
        </w:rPr>
        <w:t>Chapter 2: The IP Investigation Method</w:t>
      </w:r>
    </w:p>
    <w:p>
      <w:pPr>
        <w:pStyle w:val="BodyText"/>
        <w:spacing w:before="3"/>
        <w:rPr>
          <w:rFonts w:ascii="Palatino Linotype"/>
          <w:sz w:val="40"/>
        </w:rPr>
      </w:pPr>
    </w:p>
    <w:p>
      <w:pPr>
        <w:pStyle w:val="ListParagraph"/>
        <w:numPr>
          <w:ilvl w:val="1"/>
          <w:numId w:val="9"/>
        </w:numPr>
        <w:tabs>
          <w:tab w:pos="479" w:val="left" w:leader="none"/>
        </w:tabs>
        <w:spacing w:line="240" w:lineRule="auto" w:before="0" w:after="0"/>
        <w:ind w:left="478" w:right="0" w:hanging="359"/>
        <w:jc w:val="both"/>
        <w:rPr>
          <w:rFonts w:ascii="Palatino Linotype"/>
          <w:sz w:val="24"/>
        </w:rPr>
      </w:pPr>
      <w:r>
        <w:rPr>
          <w:rFonts w:ascii="Palatino Linotype"/>
          <w:w w:val="105"/>
          <w:sz w:val="24"/>
        </w:rPr>
        <w:t>Introduction</w:t>
      </w:r>
    </w:p>
    <w:p>
      <w:pPr>
        <w:pStyle w:val="BodyText"/>
        <w:rPr>
          <w:rFonts w:ascii="Palatino Linotype"/>
        </w:rPr>
      </w:pPr>
    </w:p>
    <w:p>
      <w:pPr>
        <w:pStyle w:val="BodyText"/>
        <w:rPr>
          <w:rFonts w:ascii="Palatino Linotype"/>
          <w:sz w:val="16"/>
        </w:rPr>
      </w:pPr>
    </w:p>
    <w:p>
      <w:pPr>
        <w:pStyle w:val="BodyText"/>
        <w:spacing w:line="460" w:lineRule="auto"/>
        <w:ind w:left="119" w:right="102"/>
        <w:jc w:val="both"/>
      </w:pPr>
      <w:r>
        <w:rPr>
          <w:w w:val="110"/>
        </w:rPr>
        <w:t>On 08 May 2016, the American CBS newsmagazine, </w:t>
      </w:r>
      <w:r>
        <w:rPr>
          <w:rFonts w:ascii="Palatino Linotype"/>
          <w:i/>
          <w:w w:val="110"/>
        </w:rPr>
        <w:t>60 Minutes, </w:t>
      </w:r>
      <w:r>
        <w:rPr>
          <w:w w:val="110"/>
        </w:rPr>
        <w:t>aired a story</w:t>
      </w:r>
      <w:r>
        <w:rPr>
          <w:spacing w:val="-27"/>
          <w:w w:val="110"/>
        </w:rPr>
        <w:t> </w:t>
      </w:r>
      <w:r>
        <w:rPr>
          <w:w w:val="110"/>
        </w:rPr>
        <w:t>of doping allegations occurring during the Sochi Games. During a segment of the </w:t>
      </w:r>
      <w:r>
        <w:rPr>
          <w:spacing w:val="66"/>
          <w:w w:val="110"/>
        </w:rPr>
        <w:t> </w:t>
      </w:r>
      <w:r>
        <w:rPr>
          <w:rFonts w:ascii="Palatino Linotype"/>
          <w:i/>
          <w:w w:val="110"/>
        </w:rPr>
        <w:t>60 Minutes </w:t>
      </w:r>
      <w:r>
        <w:rPr>
          <w:w w:val="110"/>
        </w:rPr>
        <w:t>program, whistleblower, Mr. Vitaly Stepanov, a former employee of the Russian Anti-Doping Agency (RUSADA), revealed systematic doping</w:t>
      </w:r>
      <w:r>
        <w:rPr>
          <w:spacing w:val="32"/>
          <w:w w:val="110"/>
        </w:rPr>
        <w:t> </w:t>
      </w:r>
      <w:r>
        <w:rPr>
          <w:w w:val="110"/>
        </w:rPr>
        <w:t>inside</w:t>
      </w:r>
    </w:p>
    <w:p>
      <w:pPr>
        <w:pStyle w:val="BodyText"/>
        <w:spacing w:line="504" w:lineRule="auto" w:before="60"/>
        <w:ind w:left="119" w:right="107"/>
        <w:jc w:val="both"/>
      </w:pPr>
      <w:r>
        <w:rPr>
          <w:w w:val="110"/>
        </w:rPr>
        <w:t>the Russian athletics team. Stepanov also exposed doping misconduct  by  Russian athletes and their entourage members at the Sochi 2014 Games that had not previously been in the public domain. On the basis of recorded conversations between Stepanov and the former Director of the WADA-accredited Moscow Anti-Doping Laboratory (the "Moscow Laboratory"), Dr. Grigory Rodchenkov ("Dr. Rodchenkov"), the broadcast claims that numerous Russian athletes were doped at Sochi, including four gold medalists that were using</w:t>
      </w:r>
      <w:r>
        <w:rPr>
          <w:spacing w:val="22"/>
          <w:w w:val="110"/>
        </w:rPr>
        <w:t> </w:t>
      </w:r>
      <w:r>
        <w:rPr>
          <w:w w:val="110"/>
        </w:rPr>
        <w:t>steroids.</w:t>
      </w:r>
    </w:p>
    <w:p>
      <w:pPr>
        <w:pStyle w:val="BodyText"/>
      </w:pPr>
    </w:p>
    <w:p>
      <w:pPr>
        <w:pStyle w:val="BodyText"/>
        <w:spacing w:before="8"/>
      </w:pPr>
    </w:p>
    <w:p>
      <w:pPr>
        <w:spacing w:line="429" w:lineRule="auto" w:before="0"/>
        <w:ind w:left="119" w:right="103" w:firstLine="0"/>
        <w:jc w:val="both"/>
        <w:rPr>
          <w:sz w:val="24"/>
        </w:rPr>
      </w:pPr>
      <w:r>
        <w:rPr>
          <w:rFonts w:ascii="Palatino Linotype"/>
          <w:i/>
          <w:w w:val="105"/>
          <w:sz w:val="24"/>
        </w:rPr>
        <w:t>The New York Times </w:t>
      </w:r>
      <w:r>
        <w:rPr>
          <w:w w:val="105"/>
          <w:sz w:val="24"/>
        </w:rPr>
        <w:t>published the article, "</w:t>
      </w:r>
      <w:r>
        <w:rPr>
          <w:rFonts w:ascii="Palatino Linotype"/>
          <w:i/>
          <w:w w:val="105"/>
          <w:sz w:val="24"/>
        </w:rPr>
        <w:t>Russian Insider Says State-Run Doping </w:t>
      </w:r>
      <w:r>
        <w:rPr>
          <w:rFonts w:ascii="Palatino Linotype"/>
          <w:i/>
          <w:w w:val="105"/>
          <w:sz w:val="24"/>
        </w:rPr>
        <w:t>Fueled Olympic Gold," </w:t>
      </w:r>
      <w:r>
        <w:rPr>
          <w:w w:val="105"/>
          <w:sz w:val="24"/>
        </w:rPr>
        <w:t>on 12 May 2016 </w:t>
      </w:r>
      <w:r>
        <w:rPr>
          <w:rFonts w:ascii="Palatino Linotype"/>
          <w:i/>
          <w:w w:val="105"/>
          <w:sz w:val="24"/>
        </w:rPr>
        <w:t>alleging </w:t>
      </w:r>
      <w:r>
        <w:rPr>
          <w:w w:val="105"/>
          <w:sz w:val="24"/>
        </w:rPr>
        <w:t>that:</w:t>
      </w:r>
    </w:p>
    <w:p>
      <w:pPr>
        <w:pStyle w:val="BodyText"/>
      </w:pPr>
    </w:p>
    <w:p>
      <w:pPr>
        <w:pStyle w:val="BodyText"/>
        <w:spacing w:before="7"/>
        <w:rPr>
          <w:sz w:val="28"/>
        </w:rPr>
      </w:pPr>
    </w:p>
    <w:p>
      <w:pPr>
        <w:pStyle w:val="BodyText"/>
        <w:spacing w:line="504" w:lineRule="auto"/>
        <w:ind w:left="628" w:right="617"/>
        <w:jc w:val="both"/>
      </w:pPr>
      <w:r>
        <w:rPr>
          <w:w w:val="110"/>
        </w:rPr>
        <w:t>"[d]ozens of Russian athletes at the 2014 Winter Olympics in Sochi, including at least 15 medal winners, were part of a state-run doping program, meticulously planned for years to ensure dominance at the</w:t>
      </w:r>
    </w:p>
    <w:p>
      <w:pPr>
        <w:spacing w:after="0" w:line="504" w:lineRule="auto"/>
        <w:jc w:val="both"/>
        <w:sectPr>
          <w:footerReference w:type="default" r:id="rId20"/>
          <w:pgSz w:w="12240" w:h="15840"/>
          <w:pgMar w:footer="707" w:header="0" w:top="1460" w:bottom="900" w:left="1700" w:right="1680"/>
        </w:sectPr>
      </w:pPr>
    </w:p>
    <w:p>
      <w:pPr>
        <w:pStyle w:val="BodyText"/>
        <w:tabs>
          <w:tab w:pos="1619" w:val="left" w:leader="none"/>
          <w:tab w:pos="3810" w:val="left" w:leader="none"/>
          <w:tab w:pos="4846" w:val="left" w:leader="none"/>
          <w:tab w:pos="5258" w:val="left" w:leader="none"/>
          <w:tab w:pos="6991" w:val="left" w:leader="none"/>
        </w:tabs>
        <w:spacing w:line="504" w:lineRule="auto" w:before="16"/>
        <w:ind w:left="628" w:right="614"/>
        <w:rPr>
          <w:sz w:val="16"/>
        </w:rPr>
      </w:pPr>
      <w:r>
        <w:rPr>
          <w:w w:val="115"/>
        </w:rPr>
        <w:t>Games,</w:t>
        <w:tab/>
        <w:t>according </w:t>
      </w:r>
      <w:r>
        <w:rPr>
          <w:spacing w:val="38"/>
          <w:w w:val="115"/>
        </w:rPr>
        <w:t> </w:t>
      </w:r>
      <w:r>
        <w:rPr>
          <w:w w:val="115"/>
        </w:rPr>
        <w:t>to </w:t>
      </w:r>
      <w:r>
        <w:rPr>
          <w:spacing w:val="40"/>
          <w:w w:val="115"/>
        </w:rPr>
        <w:t> </w:t>
      </w:r>
      <w:r>
        <w:rPr>
          <w:w w:val="115"/>
        </w:rPr>
        <w:t>the</w:t>
        <w:tab/>
        <w:t>director</w:t>
        <w:tab/>
        <w:t>of</w:t>
        <w:tab/>
        <w:t>the </w:t>
      </w:r>
      <w:r>
        <w:rPr>
          <w:spacing w:val="51"/>
          <w:w w:val="115"/>
        </w:rPr>
        <w:t> </w:t>
      </w:r>
      <w:r>
        <w:rPr>
          <w:w w:val="115"/>
        </w:rPr>
        <w:t>country's</w:t>
        <w:tab/>
      </w:r>
      <w:r>
        <w:rPr>
          <w:spacing w:val="-1"/>
          <w:w w:val="110"/>
        </w:rPr>
        <w:t>anti-doping </w:t>
      </w:r>
      <w:r>
        <w:rPr>
          <w:w w:val="115"/>
        </w:rPr>
        <w:t>laboratory</w:t>
      </w:r>
      <w:r>
        <w:rPr>
          <w:spacing w:val="-33"/>
          <w:w w:val="115"/>
        </w:rPr>
        <w:t> </w:t>
      </w:r>
      <w:r>
        <w:rPr>
          <w:w w:val="115"/>
        </w:rPr>
        <w:t>at</w:t>
      </w:r>
      <w:r>
        <w:rPr>
          <w:spacing w:val="-35"/>
          <w:w w:val="115"/>
        </w:rPr>
        <w:t> </w:t>
      </w:r>
      <w:r>
        <w:rPr>
          <w:w w:val="115"/>
        </w:rPr>
        <w:t>the</w:t>
      </w:r>
      <w:r>
        <w:rPr>
          <w:spacing w:val="-35"/>
          <w:w w:val="115"/>
        </w:rPr>
        <w:t> </w:t>
      </w:r>
      <w:r>
        <w:rPr>
          <w:w w:val="115"/>
        </w:rPr>
        <w:t>time."</w:t>
      </w:r>
      <w:r>
        <w:rPr>
          <w:w w:val="115"/>
          <w:position w:val="6"/>
          <w:sz w:val="16"/>
        </w:rPr>
        <w:t>1</w:t>
      </w:r>
    </w:p>
    <w:p>
      <w:pPr>
        <w:pStyle w:val="BodyText"/>
      </w:pPr>
    </w:p>
    <w:p>
      <w:pPr>
        <w:pStyle w:val="BodyText"/>
        <w:spacing w:before="2"/>
        <w:rPr>
          <w:sz w:val="27"/>
        </w:rPr>
      </w:pPr>
    </w:p>
    <w:p>
      <w:pPr>
        <w:pStyle w:val="BodyText"/>
        <w:spacing w:line="501" w:lineRule="auto"/>
        <w:ind w:left="119" w:right="107"/>
        <w:jc w:val="both"/>
      </w:pPr>
      <w:r>
        <w:rPr>
          <w:w w:val="110"/>
        </w:rPr>
        <w:t>Following these news publications, the World Anti-Doping Agency ("WADA") announced that Professor Richard H. McLaren was appointed as</w:t>
      </w:r>
      <w:r>
        <w:rPr>
          <w:spacing w:val="66"/>
          <w:w w:val="110"/>
        </w:rPr>
        <w:t> </w:t>
      </w:r>
      <w:r>
        <w:rPr>
          <w:w w:val="110"/>
        </w:rPr>
        <w:t>the</w:t>
      </w:r>
      <w:r>
        <w:rPr>
          <w:spacing w:val="66"/>
          <w:w w:val="110"/>
        </w:rPr>
        <w:t> </w:t>
      </w:r>
      <w:r>
        <w:rPr>
          <w:w w:val="110"/>
        </w:rPr>
        <w:t>Independent Person ("IP") to lead an investigation into the allegations arising from the two above news</w:t>
      </w:r>
      <w:r>
        <w:rPr>
          <w:spacing w:val="-5"/>
          <w:w w:val="110"/>
        </w:rPr>
        <w:t> </w:t>
      </w:r>
      <w:r>
        <w:rPr>
          <w:w w:val="110"/>
        </w:rPr>
        <w:t>sources.</w:t>
      </w:r>
    </w:p>
    <w:p>
      <w:pPr>
        <w:pStyle w:val="BodyText"/>
      </w:pPr>
    </w:p>
    <w:p>
      <w:pPr>
        <w:pStyle w:val="BodyText"/>
      </w:pPr>
    </w:p>
    <w:p>
      <w:pPr>
        <w:pStyle w:val="ListParagraph"/>
        <w:numPr>
          <w:ilvl w:val="1"/>
          <w:numId w:val="9"/>
        </w:numPr>
        <w:tabs>
          <w:tab w:pos="479" w:val="left" w:leader="none"/>
        </w:tabs>
        <w:spacing w:line="240" w:lineRule="auto" w:before="208" w:after="0"/>
        <w:ind w:left="478" w:right="0" w:hanging="359"/>
        <w:jc w:val="both"/>
        <w:rPr>
          <w:rFonts w:ascii="Palatino Linotype"/>
          <w:sz w:val="24"/>
        </w:rPr>
      </w:pPr>
      <w:r>
        <w:rPr>
          <w:rFonts w:ascii="Palatino Linotype"/>
          <w:w w:val="105"/>
          <w:sz w:val="24"/>
        </w:rPr>
        <w:t>The</w:t>
      </w:r>
      <w:r>
        <w:rPr>
          <w:rFonts w:ascii="Palatino Linotype"/>
          <w:spacing w:val="-26"/>
          <w:w w:val="105"/>
          <w:sz w:val="24"/>
        </w:rPr>
        <w:t> </w:t>
      </w:r>
      <w:r>
        <w:rPr>
          <w:rFonts w:ascii="Palatino Linotype"/>
          <w:w w:val="105"/>
          <w:sz w:val="24"/>
        </w:rPr>
        <w:t>Investigation</w:t>
      </w:r>
      <w:r>
        <w:rPr>
          <w:rFonts w:ascii="Palatino Linotype"/>
          <w:spacing w:val="-26"/>
          <w:w w:val="105"/>
          <w:sz w:val="24"/>
        </w:rPr>
        <w:t> </w:t>
      </w:r>
      <w:r>
        <w:rPr>
          <w:rFonts w:ascii="Palatino Linotype"/>
          <w:w w:val="105"/>
          <w:sz w:val="24"/>
        </w:rPr>
        <w:t>Process</w:t>
      </w:r>
    </w:p>
    <w:p>
      <w:pPr>
        <w:pStyle w:val="BodyText"/>
        <w:rPr>
          <w:rFonts w:ascii="Palatino Linotype"/>
        </w:rPr>
      </w:pPr>
    </w:p>
    <w:p>
      <w:pPr>
        <w:pStyle w:val="BodyText"/>
        <w:spacing w:before="11"/>
        <w:rPr>
          <w:rFonts w:ascii="Palatino Linotype"/>
          <w:sz w:val="18"/>
        </w:rPr>
      </w:pPr>
    </w:p>
    <w:p>
      <w:pPr>
        <w:pStyle w:val="BodyText"/>
        <w:spacing w:line="504" w:lineRule="auto"/>
        <w:ind w:left="119" w:right="107"/>
        <w:jc w:val="both"/>
      </w:pPr>
      <w:r>
        <w:rPr>
          <w:w w:val="110"/>
        </w:rPr>
        <w:t>Subsequent to the creation of the IP, a meeting was held in Los Angeles, California on 20 May 2016. The Los Angeles meeting provided the IP with background that Dr. Rodchenkov supplied through his chosen intermediary. Some of the members of the IP investigative staff were present. The IP attended via</w:t>
      </w:r>
      <w:r>
        <w:rPr>
          <w:spacing w:val="-10"/>
          <w:w w:val="110"/>
        </w:rPr>
        <w:t> </w:t>
      </w:r>
      <w:r>
        <w:rPr>
          <w:w w:val="110"/>
        </w:rPr>
        <w:t>Skype,</w:t>
      </w:r>
      <w:r>
        <w:rPr>
          <w:spacing w:val="-10"/>
          <w:w w:val="110"/>
        </w:rPr>
        <w:t> </w:t>
      </w:r>
      <w:r>
        <w:rPr>
          <w:w w:val="110"/>
        </w:rPr>
        <w:t>as</w:t>
      </w:r>
      <w:r>
        <w:rPr>
          <w:spacing w:val="-10"/>
          <w:w w:val="110"/>
        </w:rPr>
        <w:t> </w:t>
      </w:r>
      <w:r>
        <w:rPr>
          <w:w w:val="110"/>
        </w:rPr>
        <w:t>did</w:t>
      </w:r>
      <w:r>
        <w:rPr>
          <w:spacing w:val="-10"/>
          <w:w w:val="110"/>
        </w:rPr>
        <w:t> </w:t>
      </w:r>
      <w:r>
        <w:rPr>
          <w:w w:val="110"/>
        </w:rPr>
        <w:t>Dr.</w:t>
      </w:r>
      <w:r>
        <w:rPr>
          <w:spacing w:val="-10"/>
          <w:w w:val="110"/>
        </w:rPr>
        <w:t> </w:t>
      </w:r>
      <w:r>
        <w:rPr>
          <w:w w:val="110"/>
        </w:rPr>
        <w:t>Rodchenkov.</w:t>
      </w:r>
    </w:p>
    <w:p>
      <w:pPr>
        <w:pStyle w:val="BodyText"/>
      </w:pPr>
    </w:p>
    <w:p>
      <w:pPr>
        <w:pStyle w:val="BodyText"/>
        <w:spacing w:before="2"/>
        <w:rPr>
          <w:sz w:val="27"/>
        </w:rPr>
      </w:pPr>
    </w:p>
    <w:p>
      <w:pPr>
        <w:pStyle w:val="BodyText"/>
        <w:spacing w:line="504" w:lineRule="auto"/>
        <w:ind w:left="119" w:right="106"/>
        <w:jc w:val="both"/>
      </w:pPr>
      <w:r>
        <w:rPr/>
        <w:pict>
          <v:line style="position:absolute;mso-position-horizontal-relative:page;mso-position-vertical-relative:paragraph;z-index:1168;mso-wrap-distance-left:0;mso-wrap-distance-right:0" from="90.839996pt,148.183121pt" to="234.959996pt,148.183121pt" stroked="true" strokeweight=".600010pt" strokecolor="#000000">
            <w10:wrap type="topAndBottom"/>
          </v:line>
        </w:pict>
      </w:r>
      <w:r>
        <w:rPr>
          <w:w w:val="110"/>
        </w:rPr>
        <w:t>Following that meeting, the IP acted quickly to pull together his investigative team. Included were: Chief Investigator Martin Dubbey, Montreal Anti-Doping Laboratory Director, Dr. Christiane Ayotte, lawyer and the IP Russian language support, Diana Tesic, WADA investigation department Mathieu Holz, Richard Young,  Esq., two  Western University  Law  students,  Karen Luu and    Kaleigh</w:t>
      </w:r>
    </w:p>
    <w:p>
      <w:pPr>
        <w:spacing w:line="266" w:lineRule="auto" w:before="77"/>
        <w:ind w:left="119" w:right="199" w:firstLine="0"/>
        <w:jc w:val="left"/>
        <w:rPr>
          <w:sz w:val="19"/>
        </w:rPr>
      </w:pPr>
      <w:r>
        <w:rPr>
          <w:w w:val="110"/>
          <w:position w:val="5"/>
          <w:sz w:val="13"/>
        </w:rPr>
        <w:t>1 </w:t>
      </w:r>
      <w:r>
        <w:rPr>
          <w:w w:val="110"/>
          <w:sz w:val="19"/>
        </w:rPr>
        <w:t>Ruiz, R., and Schwirtz, M., 2016. Russian Insider Says State-Run Doping Fueled Olympic Gold. </w:t>
      </w:r>
      <w:r>
        <w:rPr>
          <w:w w:val="112"/>
          <w:sz w:val="19"/>
        </w:rPr>
        <w:t>[Online] </w:t>
      </w:r>
      <w:r>
        <w:rPr>
          <w:w w:val="113"/>
          <w:sz w:val="19"/>
        </w:rPr>
        <w:t>Available </w:t>
      </w:r>
      <w:r>
        <w:rPr>
          <w:w w:val="110"/>
          <w:sz w:val="19"/>
        </w:rPr>
        <w:t>at: </w:t>
      </w:r>
      <w:hyperlink r:id="rId21">
        <w:r>
          <w:rPr>
            <w:w w:val="125"/>
            <w:sz w:val="19"/>
          </w:rPr>
          <w:t>http://www.nytimes.com/2016/05/13/sports/russia-doping-sochi-</w:t>
        </w:r>
      </w:hyperlink>
      <w:r>
        <w:rPr>
          <w:w w:val="125"/>
          <w:sz w:val="19"/>
        </w:rPr>
        <w:t> </w:t>
      </w:r>
      <w:r>
        <w:rPr>
          <w:w w:val="110"/>
          <w:sz w:val="19"/>
        </w:rPr>
        <w:t>olympics-2014.html?_r=0 [Accessed 15 July 2016].</w:t>
      </w:r>
    </w:p>
    <w:p>
      <w:pPr>
        <w:spacing w:after="0" w:line="266" w:lineRule="auto"/>
        <w:jc w:val="left"/>
        <w:rPr>
          <w:sz w:val="19"/>
        </w:rPr>
        <w:sectPr>
          <w:pgSz w:w="12240" w:h="15840"/>
          <w:pgMar w:header="0" w:footer="707" w:top="1440" w:bottom="900" w:left="1700" w:right="1680"/>
        </w:sectPr>
      </w:pPr>
    </w:p>
    <w:p>
      <w:pPr>
        <w:pStyle w:val="BodyText"/>
        <w:spacing w:line="504" w:lineRule="auto" w:before="16"/>
        <w:ind w:left="119" w:right="108"/>
        <w:jc w:val="both"/>
      </w:pPr>
      <w:r>
        <w:rPr>
          <w:w w:val="110"/>
        </w:rPr>
        <w:t>Hawkins-Schulz. Expert forensic personnel were engaged who were capable of performing marks and scratches detection, DNA analysis and finger printing, digital data review and analysis, including restoration of deleted data and other cyber forensic personnel. In addition Dr. David Cowan Director of the Drug Control Centre and the DNA analysis unit at Kings College, London ("DCC") provided the use of his laboratory and did the laboratory analytical work for the IP.</w:t>
      </w:r>
    </w:p>
    <w:p>
      <w:pPr>
        <w:pStyle w:val="BodyText"/>
      </w:pPr>
    </w:p>
    <w:p>
      <w:pPr>
        <w:pStyle w:val="BodyText"/>
        <w:spacing w:before="2"/>
        <w:rPr>
          <w:sz w:val="27"/>
        </w:rPr>
      </w:pPr>
    </w:p>
    <w:p>
      <w:pPr>
        <w:pStyle w:val="BodyText"/>
        <w:spacing w:line="504" w:lineRule="auto"/>
        <w:ind w:left="119" w:right="107"/>
        <w:jc w:val="both"/>
      </w:pPr>
      <w:r>
        <w:rPr>
          <w:w w:val="110"/>
        </w:rPr>
        <w:t>In particular I would like to thank Martin Dubbey. He led the inquisitorial and investigative aspects of the investigation and brought with him other skilled individuals in his organization that were instrumental in  establishing  the</w:t>
      </w:r>
      <w:r>
        <w:rPr>
          <w:spacing w:val="66"/>
          <w:w w:val="110"/>
        </w:rPr>
        <w:t> </w:t>
      </w:r>
      <w:r>
        <w:rPr>
          <w:w w:val="110"/>
        </w:rPr>
        <w:t>forensic aspects of this Report and targeting the appropriate samples that</w:t>
      </w:r>
      <w:r>
        <w:rPr>
          <w:spacing w:val="66"/>
          <w:w w:val="110"/>
        </w:rPr>
        <w:t> </w:t>
      </w:r>
      <w:r>
        <w:rPr>
          <w:w w:val="110"/>
        </w:rPr>
        <w:t>required testing in an accredited laboratory. I would also like to thank all of the experts involved in our team who equally deserve recognition for producing an excellent piece of work in an all too short a time. They all responded to the call for speedy</w:t>
      </w:r>
      <w:r>
        <w:rPr>
          <w:spacing w:val="-14"/>
          <w:w w:val="110"/>
        </w:rPr>
        <w:t> </w:t>
      </w:r>
      <w:r>
        <w:rPr>
          <w:w w:val="110"/>
        </w:rPr>
        <w:t>action.</w:t>
      </w:r>
    </w:p>
    <w:p>
      <w:pPr>
        <w:pStyle w:val="BodyText"/>
      </w:pPr>
    </w:p>
    <w:p>
      <w:pPr>
        <w:pStyle w:val="BodyText"/>
        <w:spacing w:before="2"/>
        <w:rPr>
          <w:sz w:val="27"/>
        </w:rPr>
      </w:pPr>
    </w:p>
    <w:p>
      <w:pPr>
        <w:pStyle w:val="BodyText"/>
        <w:spacing w:line="504" w:lineRule="auto"/>
        <w:ind w:left="119" w:right="108"/>
        <w:jc w:val="both"/>
      </w:pPr>
      <w:r>
        <w:rPr>
          <w:w w:val="110"/>
        </w:rPr>
        <w:t>I would also like to thank the two athlete representatives, Beckie Scott, Chair of the WADA Athletes' Committee and WADA Executive Board Member, and Claudia Bokel, Chair of IOC Athletes' Commission and IOC Executive Board Member. They participated in the Los Angeles meeting and I kept them</w:t>
      </w:r>
      <w:r>
        <w:rPr>
          <w:spacing w:val="66"/>
          <w:w w:val="110"/>
        </w:rPr>
        <w:t> </w:t>
      </w:r>
      <w:r>
        <w:rPr>
          <w:w w:val="110"/>
        </w:rPr>
        <w:t>informed as the investigation progressed, but, recognizing that the sensitivity  </w:t>
      </w:r>
      <w:r>
        <w:rPr>
          <w:spacing w:val="36"/>
          <w:w w:val="110"/>
        </w:rPr>
        <w:t> </w:t>
      </w:r>
      <w:r>
        <w:rPr>
          <w:w w:val="110"/>
        </w:rPr>
        <w:t>of</w:t>
      </w:r>
    </w:p>
    <w:p>
      <w:pPr>
        <w:pStyle w:val="BodyText"/>
        <w:rPr>
          <w:sz w:val="20"/>
        </w:rPr>
      </w:pPr>
    </w:p>
    <w:p>
      <w:pPr>
        <w:pStyle w:val="BodyText"/>
        <w:rPr>
          <w:sz w:val="20"/>
        </w:rPr>
      </w:pPr>
    </w:p>
    <w:p>
      <w:pPr>
        <w:pStyle w:val="BodyText"/>
        <w:spacing w:before="3"/>
        <w:rPr>
          <w:sz w:val="22"/>
        </w:rPr>
      </w:pPr>
      <w:r>
        <w:rPr/>
        <w:pict>
          <v:group style="position:absolute;margin-left:510.600006pt;margin-top:14.748281pt;width:11.55pt;height:8.3pt;mso-position-horizontal-relative:page;mso-position-vertical-relative:paragraph;z-index:1192;mso-wrap-distance-left:0;mso-wrap-distance-right:0" coordorigin="10212,295" coordsize="231,166">
            <v:shape style="position:absolute;left:10212;top:295;width:96;height:164" coordorigin="10212,295" coordsize="96,164" path="m10294,305l10270,305,10272,309,10277,312,10279,314,10284,324,10284,343,10282,345,10282,350,10279,353,10277,357,10277,362,10267,372,10265,377,10258,386,10248,396,10238,408,10224,427,10219,434,10214,444,10212,451,10212,458,10306,458,10307,439,10234,439,10240,430,10248,419,10257,409,10267,398,10274,389,10282,381,10284,377,10291,369,10296,360,10298,357,10301,353,10303,350,10303,343,10306,341,10306,319,10301,309,10294,305xm10308,425l10298,425,10296,427,10296,432,10291,437,10289,437,10286,439,10307,439,10308,425xm10277,295l10248,295,10241,297,10231,300,10224,302,10214,307,10214,329,10229,329,10234,312,10243,305,10294,305,10286,297,10277,295xe" filled="true" fillcolor="#000000" stroked="false">
              <v:path arrowok="t"/>
              <v:fill type="solid"/>
            </v:shape>
            <v:shape style="position:absolute;left:10342;top:295;width:101;height:166" type="#_x0000_t75" stroked="false">
              <v:imagedata r:id="rId23" o:title=""/>
            </v:shape>
            <w10:wrap type="topAndBottom"/>
          </v:group>
        </w:pict>
      </w:r>
    </w:p>
    <w:p>
      <w:pPr>
        <w:spacing w:after="0"/>
        <w:rPr>
          <w:sz w:val="22"/>
        </w:rPr>
        <w:sectPr>
          <w:footerReference w:type="default" r:id="rId22"/>
          <w:pgSz w:w="12240" w:h="15840"/>
          <w:pgMar w:footer="0" w:header="0" w:top="1440" w:bottom="280" w:left="1700" w:right="1680"/>
        </w:sectPr>
      </w:pPr>
    </w:p>
    <w:p>
      <w:pPr>
        <w:pStyle w:val="BodyText"/>
        <w:spacing w:line="504" w:lineRule="auto" w:before="16"/>
        <w:ind w:left="119" w:right="107"/>
        <w:jc w:val="both"/>
      </w:pPr>
      <w:r>
        <w:rPr>
          <w:w w:val="110"/>
        </w:rPr>
        <w:t>what I was doing, meant I could share with them only general non-sensitive information. I was pleased to be able to invite them to the London WADA accredited laboratory when we began the laboratory analytical phase of the investigation. They attended and participated in doing some of the random selection of samples for analysis. Not a major role, but one that should provide some confidence to the clean athletes of the world, whom they represent, that the IP was competent and effective in targeting the correct evidence in carrying out its work.</w:t>
      </w:r>
    </w:p>
    <w:p>
      <w:pPr>
        <w:pStyle w:val="BodyText"/>
      </w:pPr>
    </w:p>
    <w:p>
      <w:pPr>
        <w:pStyle w:val="BodyText"/>
      </w:pPr>
    </w:p>
    <w:p>
      <w:pPr>
        <w:pStyle w:val="ListParagraph"/>
        <w:numPr>
          <w:ilvl w:val="1"/>
          <w:numId w:val="9"/>
        </w:numPr>
        <w:tabs>
          <w:tab w:pos="478" w:val="left" w:leader="none"/>
        </w:tabs>
        <w:spacing w:line="240" w:lineRule="auto" w:before="205" w:after="0"/>
        <w:ind w:left="477" w:right="0" w:hanging="358"/>
        <w:jc w:val="both"/>
        <w:rPr>
          <w:rFonts w:ascii="Palatino Linotype"/>
          <w:sz w:val="24"/>
        </w:rPr>
      </w:pPr>
      <w:r>
        <w:rPr>
          <w:rFonts w:ascii="Palatino Linotype"/>
          <w:w w:val="105"/>
          <w:sz w:val="24"/>
        </w:rPr>
        <w:t>The</w:t>
      </w:r>
      <w:r>
        <w:rPr>
          <w:rFonts w:ascii="Palatino Linotype"/>
          <w:spacing w:val="-37"/>
          <w:w w:val="105"/>
          <w:sz w:val="24"/>
        </w:rPr>
        <w:t> </w:t>
      </w:r>
      <w:r>
        <w:rPr>
          <w:rFonts w:ascii="Palatino Linotype"/>
          <w:w w:val="105"/>
          <w:sz w:val="24"/>
        </w:rPr>
        <w:t>Investigation</w:t>
      </w:r>
      <w:r>
        <w:rPr>
          <w:rFonts w:ascii="Palatino Linotype"/>
          <w:spacing w:val="-36"/>
          <w:w w:val="105"/>
          <w:sz w:val="24"/>
        </w:rPr>
        <w:t> </w:t>
      </w:r>
      <w:r>
        <w:rPr>
          <w:rFonts w:ascii="Palatino Linotype"/>
          <w:w w:val="105"/>
          <w:sz w:val="24"/>
        </w:rPr>
        <w:t>Procedure</w:t>
      </w:r>
    </w:p>
    <w:p>
      <w:pPr>
        <w:pStyle w:val="BodyText"/>
        <w:rPr>
          <w:rFonts w:ascii="Palatino Linotype"/>
        </w:rPr>
      </w:pPr>
    </w:p>
    <w:p>
      <w:pPr>
        <w:pStyle w:val="BodyText"/>
        <w:spacing w:before="11"/>
        <w:rPr>
          <w:rFonts w:ascii="Palatino Linotype"/>
          <w:sz w:val="18"/>
        </w:rPr>
      </w:pPr>
    </w:p>
    <w:p>
      <w:pPr>
        <w:pStyle w:val="BodyText"/>
        <w:spacing w:line="504" w:lineRule="auto"/>
        <w:ind w:left="119" w:right="106"/>
        <w:jc w:val="both"/>
      </w:pPr>
      <w:r>
        <w:rPr>
          <w:w w:val="110"/>
        </w:rPr>
        <w:t>The IP and his investigators interviewed and personally met the principal</w:t>
      </w:r>
      <w:r>
        <w:rPr>
          <w:spacing w:val="66"/>
          <w:w w:val="110"/>
        </w:rPr>
        <w:t> </w:t>
      </w:r>
      <w:r>
        <w:rPr>
          <w:w w:val="110"/>
        </w:rPr>
        <w:t>witness, Dr. Rodchenkov. I have concluded that Dr. Rodchenkov is credible and truthful in relaying to me the testimony he gave which is the subject matter of this Report. I am aware that there are allegations against him made by various persons and institutional representatives. While that might impinge on his credibility in a broader context, I do not find that it does so in respect of this Report. I reach that conclusion because the forensic and laboratory scientific evidence that I have gathered corroborates that he has been completely truthful</w:t>
      </w:r>
      <w:r>
        <w:rPr>
          <w:spacing w:val="66"/>
          <w:w w:val="110"/>
        </w:rPr>
        <w:t> </w:t>
      </w:r>
      <w:r>
        <w:rPr>
          <w:w w:val="110"/>
        </w:rPr>
        <w:t>in his interviews with me. Therefore, I did not hesitate in coming to the conclusion that within the context of the subject matter that was my mandate he</w:t>
      </w:r>
      <w:r>
        <w:rPr>
          <w:spacing w:val="66"/>
          <w:w w:val="110"/>
        </w:rPr>
        <w:t> </w:t>
      </w:r>
      <w:r>
        <w:rPr>
          <w:w w:val="110"/>
        </w:rPr>
        <w:t>is a credible and truthful person.</w:t>
      </w:r>
      <w:r>
        <w:rPr>
          <w:spacing w:val="66"/>
          <w:w w:val="110"/>
        </w:rPr>
        <w:t> </w:t>
      </w:r>
      <w:r>
        <w:rPr>
          <w:w w:val="110"/>
        </w:rPr>
        <w:t>I do not need to go further afield in assessing</w:t>
      </w:r>
      <w:r>
        <w:rPr>
          <w:spacing w:val="66"/>
          <w:w w:val="110"/>
        </w:rPr>
        <w:t> </w:t>
      </w:r>
      <w:r>
        <w:rPr>
          <w:w w:val="110"/>
        </w:rPr>
        <w:t>his</w:t>
      </w:r>
      <w:r>
        <w:rPr>
          <w:spacing w:val="-4"/>
          <w:w w:val="110"/>
        </w:rPr>
        <w:t> </w:t>
      </w:r>
      <w:r>
        <w:rPr>
          <w:w w:val="110"/>
        </w:rPr>
        <w:t>credibility</w:t>
      </w:r>
      <w:r>
        <w:rPr>
          <w:spacing w:val="-6"/>
          <w:w w:val="110"/>
        </w:rPr>
        <w:t> </w:t>
      </w:r>
      <w:r>
        <w:rPr>
          <w:w w:val="110"/>
        </w:rPr>
        <w:t>as</w:t>
      </w:r>
      <w:r>
        <w:rPr>
          <w:spacing w:val="-4"/>
          <w:w w:val="110"/>
        </w:rPr>
        <w:t> </w:t>
      </w:r>
      <w:r>
        <w:rPr>
          <w:w w:val="110"/>
        </w:rPr>
        <w:t>it</w:t>
      </w:r>
      <w:r>
        <w:rPr>
          <w:spacing w:val="-6"/>
          <w:w w:val="110"/>
        </w:rPr>
        <w:t> </w:t>
      </w:r>
      <w:r>
        <w:rPr>
          <w:w w:val="110"/>
        </w:rPr>
        <w:t>is</w:t>
      </w:r>
      <w:r>
        <w:rPr>
          <w:spacing w:val="-6"/>
          <w:w w:val="110"/>
        </w:rPr>
        <w:t> </w:t>
      </w:r>
      <w:r>
        <w:rPr>
          <w:w w:val="110"/>
        </w:rPr>
        <w:t>beyond</w:t>
      </w:r>
      <w:r>
        <w:rPr>
          <w:spacing w:val="-6"/>
          <w:w w:val="110"/>
        </w:rPr>
        <w:t> </w:t>
      </w:r>
      <w:r>
        <w:rPr>
          <w:w w:val="110"/>
        </w:rPr>
        <w:t>the</w:t>
      </w:r>
      <w:r>
        <w:rPr>
          <w:spacing w:val="-6"/>
          <w:w w:val="110"/>
        </w:rPr>
        <w:t> </w:t>
      </w:r>
      <w:r>
        <w:rPr>
          <w:w w:val="110"/>
        </w:rPr>
        <w:t>scope</w:t>
      </w:r>
      <w:r>
        <w:rPr>
          <w:spacing w:val="-6"/>
          <w:w w:val="110"/>
        </w:rPr>
        <w:t> </w:t>
      </w:r>
      <w:r>
        <w:rPr>
          <w:w w:val="110"/>
        </w:rPr>
        <w:t>of</w:t>
      </w:r>
      <w:r>
        <w:rPr>
          <w:spacing w:val="-4"/>
          <w:w w:val="110"/>
        </w:rPr>
        <w:t> </w:t>
      </w:r>
      <w:r>
        <w:rPr>
          <w:w w:val="110"/>
        </w:rPr>
        <w:t>my</w:t>
      </w:r>
      <w:r>
        <w:rPr>
          <w:spacing w:val="-6"/>
          <w:w w:val="110"/>
        </w:rPr>
        <w:t> </w:t>
      </w:r>
      <w:r>
        <w:rPr>
          <w:w w:val="110"/>
        </w:rPr>
        <w:t>inquiry.</w:t>
      </w:r>
    </w:p>
    <w:p>
      <w:pPr>
        <w:spacing w:after="0" w:line="504" w:lineRule="auto"/>
        <w:jc w:val="both"/>
        <w:sectPr>
          <w:footerReference w:type="default" r:id="rId24"/>
          <w:pgSz w:w="12240" w:h="15840"/>
          <w:pgMar w:footer="707" w:header="0" w:top="1440" w:bottom="900" w:left="1700" w:right="1680"/>
        </w:sectPr>
      </w:pPr>
    </w:p>
    <w:p>
      <w:pPr>
        <w:pStyle w:val="BodyText"/>
        <w:rPr>
          <w:sz w:val="20"/>
        </w:rPr>
      </w:pPr>
    </w:p>
    <w:p>
      <w:pPr>
        <w:pStyle w:val="BodyText"/>
        <w:spacing w:before="6"/>
        <w:rPr>
          <w:sz w:val="23"/>
        </w:rPr>
      </w:pPr>
    </w:p>
    <w:p>
      <w:pPr>
        <w:pStyle w:val="BodyText"/>
        <w:spacing w:line="504" w:lineRule="auto" w:before="36"/>
        <w:ind w:left="119" w:right="108"/>
        <w:jc w:val="both"/>
      </w:pPr>
      <w:r>
        <w:rPr>
          <w:w w:val="110"/>
        </w:rPr>
        <w:t>The IP interviewed a number of other individuals on a confidential basis. Some were interviewed at the request of the IP investigation team and others came forward voluntarily.</w:t>
      </w:r>
    </w:p>
    <w:p>
      <w:pPr>
        <w:pStyle w:val="BodyText"/>
      </w:pPr>
    </w:p>
    <w:p>
      <w:pPr>
        <w:pStyle w:val="BodyText"/>
        <w:spacing w:before="2"/>
        <w:rPr>
          <w:sz w:val="27"/>
        </w:rPr>
      </w:pPr>
    </w:p>
    <w:p>
      <w:pPr>
        <w:pStyle w:val="BodyText"/>
        <w:spacing w:line="504" w:lineRule="auto"/>
        <w:ind w:left="119" w:right="109"/>
        <w:jc w:val="both"/>
      </w:pPr>
      <w:r>
        <w:rPr>
          <w:w w:val="110"/>
        </w:rPr>
        <w:t>The IP did not seek to interview persons living within the Russian Federation.</w:t>
      </w:r>
      <w:r>
        <w:rPr>
          <w:spacing w:val="66"/>
          <w:w w:val="110"/>
        </w:rPr>
        <w:t> </w:t>
      </w:r>
      <w:r>
        <w:rPr>
          <w:w w:val="110"/>
        </w:rPr>
        <w:t>My experience on the IC was such that individuals who were identified to give interviews were fearful of speaking to the</w:t>
      </w:r>
      <w:r>
        <w:rPr>
          <w:spacing w:val="-38"/>
          <w:w w:val="110"/>
        </w:rPr>
        <w:t> </w:t>
      </w:r>
      <w:r>
        <w:rPr>
          <w:w w:val="110"/>
        </w:rPr>
        <w:t>IC.</w:t>
      </w:r>
    </w:p>
    <w:p>
      <w:pPr>
        <w:pStyle w:val="BodyText"/>
      </w:pPr>
    </w:p>
    <w:p>
      <w:pPr>
        <w:pStyle w:val="BodyText"/>
        <w:spacing w:before="2"/>
        <w:rPr>
          <w:sz w:val="27"/>
        </w:rPr>
      </w:pPr>
    </w:p>
    <w:p>
      <w:pPr>
        <w:pStyle w:val="BodyText"/>
        <w:spacing w:line="504" w:lineRule="auto"/>
        <w:ind w:left="119" w:right="104"/>
        <w:jc w:val="both"/>
      </w:pPr>
      <w:r>
        <w:rPr>
          <w:w w:val="110"/>
        </w:rPr>
        <w:t>I did not seek to meet with Russian government officials and did not think it necessary, having already done so previously with the IC with little benefit to</w:t>
      </w:r>
      <w:r>
        <w:rPr>
          <w:spacing w:val="66"/>
          <w:w w:val="110"/>
        </w:rPr>
        <w:t> </w:t>
      </w:r>
      <w:r>
        <w:rPr>
          <w:w w:val="110"/>
        </w:rPr>
        <w:t>that investigation. I also received, unsolicited, an extensive narrative with attachments from one important government representative described in this Report. In the short time of 57 days that I was given to conduct this IP investigation it was simply not practical and I deemed such interviewing would not be helpful based on my experience with the</w:t>
      </w:r>
      <w:r>
        <w:rPr>
          <w:spacing w:val="-34"/>
          <w:w w:val="110"/>
        </w:rPr>
        <w:t> </w:t>
      </w:r>
      <w:r>
        <w:rPr>
          <w:w w:val="110"/>
        </w:rPr>
        <w:t>IC.</w:t>
      </w:r>
    </w:p>
    <w:p>
      <w:pPr>
        <w:pStyle w:val="BodyText"/>
      </w:pPr>
    </w:p>
    <w:p>
      <w:pPr>
        <w:pStyle w:val="BodyText"/>
        <w:spacing w:before="2"/>
        <w:rPr>
          <w:sz w:val="27"/>
        </w:rPr>
      </w:pPr>
    </w:p>
    <w:p>
      <w:pPr>
        <w:pStyle w:val="BodyText"/>
        <w:spacing w:line="496" w:lineRule="auto"/>
        <w:ind w:left="119" w:right="108"/>
        <w:jc w:val="both"/>
      </w:pPr>
      <w:r>
        <w:rPr>
          <w:w w:val="110"/>
        </w:rPr>
        <w:t>All the allegations that were made have been followed up by the IP and Findings have been made along with revealing other evidence discovered during  the course of the investigation. The allegations, which we find to have been established, attack the principle of clean sport and clean athletes which are at the very heart of WADA's </w:t>
      </w:r>
      <w:r>
        <w:rPr>
          <w:rFonts w:ascii="Palatino Linotype"/>
          <w:i/>
          <w:w w:val="110"/>
        </w:rPr>
        <w:t>raison d'etre</w:t>
      </w:r>
      <w:r>
        <w:rPr>
          <w:w w:val="110"/>
        </w:rPr>
        <w:t>.</w:t>
      </w:r>
    </w:p>
    <w:p>
      <w:pPr>
        <w:spacing w:after="0" w:line="496" w:lineRule="auto"/>
        <w:jc w:val="both"/>
        <w:sectPr>
          <w:pgSz w:w="12240" w:h="15840"/>
          <w:pgMar w:header="0" w:footer="707" w:top="1500" w:bottom="900" w:left="1700" w:right="1680"/>
        </w:sectPr>
      </w:pPr>
    </w:p>
    <w:p>
      <w:pPr>
        <w:pStyle w:val="BodyText"/>
        <w:rPr>
          <w:sz w:val="20"/>
        </w:rPr>
      </w:pPr>
    </w:p>
    <w:p>
      <w:pPr>
        <w:pStyle w:val="BodyText"/>
        <w:rPr>
          <w:sz w:val="20"/>
        </w:rPr>
      </w:pPr>
    </w:p>
    <w:p>
      <w:pPr>
        <w:pStyle w:val="BodyText"/>
        <w:rPr>
          <w:sz w:val="21"/>
        </w:rPr>
      </w:pPr>
    </w:p>
    <w:p>
      <w:pPr>
        <w:pStyle w:val="ListParagraph"/>
        <w:numPr>
          <w:ilvl w:val="2"/>
          <w:numId w:val="10"/>
        </w:numPr>
        <w:tabs>
          <w:tab w:pos="659" w:val="left" w:leader="none"/>
        </w:tabs>
        <w:spacing w:line="240" w:lineRule="auto" w:before="9" w:after="0"/>
        <w:ind w:left="658" w:right="0" w:hanging="539"/>
        <w:jc w:val="both"/>
        <w:rPr>
          <w:rFonts w:ascii="Palatino Linotype"/>
          <w:sz w:val="24"/>
        </w:rPr>
      </w:pPr>
      <w:r>
        <w:rPr>
          <w:rFonts w:ascii="Palatino Linotype"/>
          <w:w w:val="105"/>
          <w:sz w:val="24"/>
        </w:rPr>
        <w:t>IP</w:t>
      </w:r>
      <w:r>
        <w:rPr>
          <w:rFonts w:ascii="Palatino Linotype"/>
          <w:spacing w:val="-18"/>
          <w:w w:val="105"/>
          <w:sz w:val="24"/>
        </w:rPr>
        <w:t> </w:t>
      </w:r>
      <w:r>
        <w:rPr>
          <w:rFonts w:ascii="Palatino Linotype"/>
          <w:w w:val="105"/>
          <w:sz w:val="24"/>
        </w:rPr>
        <w:t>Findings</w:t>
      </w:r>
    </w:p>
    <w:p>
      <w:pPr>
        <w:pStyle w:val="BodyText"/>
        <w:rPr>
          <w:rFonts w:ascii="Palatino Linotype"/>
        </w:rPr>
      </w:pPr>
    </w:p>
    <w:p>
      <w:pPr>
        <w:pStyle w:val="BodyText"/>
        <w:spacing w:before="10"/>
        <w:rPr>
          <w:rFonts w:ascii="Palatino Linotype"/>
          <w:sz w:val="28"/>
        </w:rPr>
      </w:pPr>
    </w:p>
    <w:p>
      <w:pPr>
        <w:pStyle w:val="ListParagraph"/>
        <w:numPr>
          <w:ilvl w:val="3"/>
          <w:numId w:val="10"/>
        </w:numPr>
        <w:tabs>
          <w:tab w:pos="841" w:val="left" w:leader="none"/>
        </w:tabs>
        <w:spacing w:line="504" w:lineRule="auto" w:before="0" w:after="0"/>
        <w:ind w:left="839" w:right="111" w:hanging="360"/>
        <w:jc w:val="both"/>
        <w:rPr>
          <w:sz w:val="24"/>
        </w:rPr>
      </w:pPr>
      <w:r>
        <w:rPr>
          <w:w w:val="110"/>
          <w:sz w:val="24"/>
        </w:rPr>
        <w:t>Dr. Rodchenkov, in the context of the subject matter within the IP mandate, was a credible and truthful</w:t>
      </w:r>
      <w:r>
        <w:rPr>
          <w:spacing w:val="52"/>
          <w:w w:val="110"/>
          <w:sz w:val="24"/>
        </w:rPr>
        <w:t> </w:t>
      </w:r>
      <w:r>
        <w:rPr>
          <w:w w:val="110"/>
          <w:sz w:val="24"/>
        </w:rPr>
        <w:t>person.</w:t>
      </w:r>
    </w:p>
    <w:p>
      <w:pPr>
        <w:pStyle w:val="BodyText"/>
      </w:pPr>
    </w:p>
    <w:p>
      <w:pPr>
        <w:pStyle w:val="BodyText"/>
        <w:spacing w:before="3"/>
        <w:rPr>
          <w:sz w:val="27"/>
        </w:rPr>
      </w:pPr>
    </w:p>
    <w:p>
      <w:pPr>
        <w:pStyle w:val="ListParagraph"/>
        <w:numPr>
          <w:ilvl w:val="3"/>
          <w:numId w:val="10"/>
        </w:numPr>
        <w:tabs>
          <w:tab w:pos="841" w:val="left" w:leader="none"/>
        </w:tabs>
        <w:spacing w:line="504" w:lineRule="auto" w:before="0" w:after="0"/>
        <w:ind w:left="839" w:right="108" w:hanging="360"/>
        <w:jc w:val="both"/>
        <w:rPr>
          <w:sz w:val="24"/>
        </w:rPr>
      </w:pPr>
      <w:r>
        <w:rPr>
          <w:w w:val="110"/>
          <w:sz w:val="24"/>
        </w:rPr>
        <w:t>All other witnesses interviewed by the IP investigative team were</w:t>
      </w:r>
      <w:r>
        <w:rPr>
          <w:spacing w:val="66"/>
          <w:w w:val="110"/>
          <w:sz w:val="24"/>
        </w:rPr>
        <w:t> </w:t>
      </w:r>
      <w:r>
        <w:rPr>
          <w:w w:val="110"/>
          <w:sz w:val="24"/>
        </w:rPr>
        <w:t>credible. Their evidence was only accepted where it met the standard of beyond a reasonable</w:t>
      </w:r>
      <w:r>
        <w:rPr>
          <w:spacing w:val="25"/>
          <w:w w:val="110"/>
          <w:sz w:val="24"/>
        </w:rPr>
        <w:t> </w:t>
      </w:r>
      <w:r>
        <w:rPr>
          <w:w w:val="110"/>
          <w:sz w:val="24"/>
        </w:rPr>
        <w:t>doubt.</w:t>
      </w:r>
    </w:p>
    <w:p>
      <w:pPr>
        <w:pStyle w:val="BodyText"/>
      </w:pPr>
    </w:p>
    <w:p>
      <w:pPr>
        <w:pStyle w:val="BodyText"/>
      </w:pPr>
    </w:p>
    <w:p>
      <w:pPr>
        <w:pStyle w:val="ListParagraph"/>
        <w:numPr>
          <w:ilvl w:val="1"/>
          <w:numId w:val="11"/>
        </w:numPr>
        <w:tabs>
          <w:tab w:pos="479" w:val="left" w:leader="none"/>
        </w:tabs>
        <w:spacing w:line="240" w:lineRule="auto" w:before="205" w:after="0"/>
        <w:ind w:left="478" w:right="0" w:hanging="359"/>
        <w:jc w:val="both"/>
        <w:rPr>
          <w:rFonts w:ascii="Palatino Linotype"/>
          <w:sz w:val="24"/>
        </w:rPr>
      </w:pPr>
      <w:r>
        <w:rPr>
          <w:rFonts w:ascii="Palatino Linotype"/>
          <w:w w:val="105"/>
          <w:sz w:val="24"/>
        </w:rPr>
        <w:t>The IAAF</w:t>
      </w:r>
      <w:r>
        <w:rPr>
          <w:rFonts w:ascii="Palatino Linotype"/>
          <w:spacing w:val="-33"/>
          <w:w w:val="105"/>
          <w:sz w:val="24"/>
        </w:rPr>
        <w:t> </w:t>
      </w:r>
      <w:r>
        <w:rPr>
          <w:rFonts w:ascii="Palatino Linotype"/>
          <w:w w:val="105"/>
          <w:sz w:val="24"/>
        </w:rPr>
        <w:t>Taskforce</w:t>
      </w:r>
    </w:p>
    <w:p>
      <w:pPr>
        <w:pStyle w:val="BodyText"/>
        <w:rPr>
          <w:rFonts w:ascii="Palatino Linotype"/>
        </w:rPr>
      </w:pPr>
    </w:p>
    <w:p>
      <w:pPr>
        <w:pStyle w:val="BodyText"/>
        <w:spacing w:before="11"/>
        <w:rPr>
          <w:rFonts w:ascii="Palatino Linotype"/>
          <w:sz w:val="18"/>
        </w:rPr>
      </w:pPr>
    </w:p>
    <w:p>
      <w:pPr>
        <w:pStyle w:val="BodyText"/>
        <w:spacing w:line="501" w:lineRule="auto"/>
        <w:ind w:left="119" w:right="105"/>
        <w:jc w:val="both"/>
      </w:pPr>
      <w:r>
        <w:rPr>
          <w:w w:val="110"/>
        </w:rPr>
        <w:t>As a result of the IC November 2015 Report, the International Association of Athletics Federation (IAAF) declared on the Friday following the report that the All Russian Athletics Federation would "be provisionally suspended on the grounds that it had breached the objects of the IAAF pertaining to eradicating doping and safeguarding the authenticity and integrity of sport." In order to regain IAAF membership, a list of criteria was imposed on All Russian Athletics Federation ("ARAF") and a Taskforce was established to determine whether the criteria had been</w:t>
      </w:r>
      <w:r>
        <w:rPr>
          <w:spacing w:val="1"/>
          <w:w w:val="110"/>
        </w:rPr>
        <w:t> </w:t>
      </w:r>
      <w:r>
        <w:rPr>
          <w:w w:val="110"/>
        </w:rPr>
        <w:t>met.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6"/>
        </w:rPr>
      </w:pPr>
      <w:r>
        <w:rPr/>
        <w:pict>
          <v:group style="position:absolute;margin-left:510.600006pt;margin-top:17.146057pt;width:11.4pt;height:8.3pt;mso-position-horizontal-relative:page;mso-position-vertical-relative:paragraph;z-index:1216;mso-wrap-distance-left:0;mso-wrap-distance-right:0" coordorigin="10212,343" coordsize="228,166">
            <v:shape style="position:absolute;left:10212;top:343;width:96;height:164" coordorigin="10212,343" coordsize="96,164" path="m10294,353l10270,353,10272,357,10277,360,10279,362,10284,372,10284,391,10282,393,10282,398,10279,401,10277,405,10277,410,10267,420,10265,425,10258,434,10248,444,10238,456,10224,475,10219,482,10214,492,10212,499,10212,506,10306,506,10307,487,10234,487,10240,478,10248,467,10257,457,10267,446,10274,437,10282,429,10284,425,10291,417,10296,408,10298,405,10301,401,10303,398,10303,391,10306,389,10306,367,10301,357,10294,353xm10308,473l10298,473,10296,475,10296,480,10291,485,10289,485,10286,487,10307,487,10308,473xm10277,343l10248,343,10241,345,10231,348,10224,350,10214,355,10214,377,10229,377,10234,360,10243,353,10294,353,10286,345,10277,343xe" filled="true" fillcolor="#000000" stroked="false">
              <v:path arrowok="t"/>
              <v:fill type="solid"/>
            </v:shape>
            <v:shape style="position:absolute;left:10344;top:343;width:96;height:166" coordorigin="10344,343" coordsize="96,166" path="m10358,475l10344,475,10344,501,10351,504,10358,504,10373,509,10399,509,10409,506,10416,501,10426,499,10380,499,10370,494,10366,489,10361,482,10358,475xm10430,353l10399,353,10404,355,10414,365,10416,372,10416,393,10411,401,10409,405,10402,410,10394,413,10387,417,10380,420,10368,420,10368,429,10392,429,10402,432,10409,439,10416,444,10418,453,10418,477,10416,485,10411,489,10406,497,10399,499,10426,499,10435,485,10440,470,10440,451,10433,437,10423,427,10418,425,10414,425,10409,422,10404,422,10404,420,10414,417,10423,408,10428,405,10433,401,10438,391,10438,365,10433,360,10430,353xm10404,343l10380,343,10366,348,10356,350,10346,355,10346,377,10361,377,10363,369,10368,362,10375,355,10382,353,10430,353,10426,350,10404,343xe" filled="true" fillcolor="#000000" stroked="false">
              <v:path arrowok="t"/>
              <v:fill type="solid"/>
            </v:shape>
            <w10:wrap type="topAndBottom"/>
          </v:group>
        </w:pict>
      </w:r>
    </w:p>
    <w:p>
      <w:pPr>
        <w:spacing w:after="0"/>
        <w:rPr>
          <w:sz w:val="26"/>
        </w:rPr>
        <w:sectPr>
          <w:footerReference w:type="default" r:id="rId25"/>
          <w:pgSz w:w="12240" w:h="15840"/>
          <w:pgMar w:footer="0" w:header="0" w:top="1500" w:bottom="280" w:left="1700" w:right="1680"/>
        </w:sectPr>
      </w:pPr>
    </w:p>
    <w:p>
      <w:pPr>
        <w:pStyle w:val="BodyText"/>
        <w:spacing w:line="504" w:lineRule="auto" w:before="16"/>
        <w:ind w:left="119" w:right="106"/>
        <w:jc w:val="both"/>
      </w:pPr>
      <w:r>
        <w:rPr>
          <w:w w:val="110"/>
        </w:rPr>
        <w:t>The Taskforce was required to report to the IAAF Council on 17 June 2016. The IP was conscious of the information in the press regarding the projected outcome of the IAAF Council decision. On 22 May 2016, three days after the IP had been appointed, Rune Andersen the chair of the IAAF Taskforce, wrote to me seeking my co-operation and assistance in providing information to the Taskforce. By the time the Taskforce was to report their findings, it was less than a month</w:t>
      </w:r>
      <w:r>
        <w:rPr>
          <w:spacing w:val="66"/>
          <w:w w:val="110"/>
        </w:rPr>
        <w:t> </w:t>
      </w:r>
      <w:r>
        <w:rPr>
          <w:w w:val="110"/>
        </w:rPr>
        <w:t>following the appointment of the IP. Despite the fact that it was early in the investigation, I decided that, in good conscience knowing what I knew at that time, I ought to fulfill the request of co-operation and provide the Taskforce information that I knew met the highest level of legal proof of beyond a reasonable</w:t>
      </w:r>
      <w:r>
        <w:rPr>
          <w:spacing w:val="16"/>
          <w:w w:val="110"/>
        </w:rPr>
        <w:t> </w:t>
      </w:r>
      <w:r>
        <w:rPr>
          <w:w w:val="110"/>
        </w:rPr>
        <w:t>doubt.</w:t>
      </w:r>
    </w:p>
    <w:p>
      <w:pPr>
        <w:pStyle w:val="BodyText"/>
      </w:pPr>
    </w:p>
    <w:p>
      <w:pPr>
        <w:pStyle w:val="BodyText"/>
        <w:rPr>
          <w:sz w:val="27"/>
        </w:rPr>
      </w:pPr>
    </w:p>
    <w:p>
      <w:pPr>
        <w:pStyle w:val="BodyText"/>
        <w:spacing w:line="504" w:lineRule="auto" w:before="1"/>
        <w:ind w:left="119" w:right="107"/>
        <w:jc w:val="both"/>
        <w:rPr>
          <w:sz w:val="16"/>
        </w:rPr>
      </w:pPr>
      <w:r>
        <w:rPr>
          <w:w w:val="110"/>
        </w:rPr>
        <w:t>With the knowledge I had learned, I did not want the IAAF Council to make a decision without them being able to assess the information I had. I simply could not sit back and stay silent on the grounds that my investigation was on going</w:t>
      </w:r>
      <w:r>
        <w:rPr>
          <w:spacing w:val="66"/>
          <w:w w:val="110"/>
        </w:rPr>
        <w:t> </w:t>
      </w:r>
      <w:r>
        <w:rPr>
          <w:w w:val="110"/>
        </w:rPr>
        <w:t>and incomplete. In light of the information available to the IP at the  time I decided to write a letter to the Taskforce.  I also wanted there to be no doubt that  I had done so. Therefore, I elected to publish my statement on the Canadian wire service. The fact that I did this, together with a copy of my statement is available on</w:t>
      </w:r>
      <w:r>
        <w:rPr>
          <w:spacing w:val="-20"/>
          <w:w w:val="110"/>
        </w:rPr>
        <w:t> </w:t>
      </w:r>
      <w:r>
        <w:rPr>
          <w:w w:val="110"/>
        </w:rPr>
        <w:t>WADA's</w:t>
      </w:r>
      <w:r>
        <w:rPr>
          <w:spacing w:val="-21"/>
          <w:w w:val="110"/>
        </w:rPr>
        <w:t> </w:t>
      </w:r>
      <w:r>
        <w:rPr>
          <w:w w:val="110"/>
        </w:rPr>
        <w:t>website</w:t>
      </w:r>
      <w:r>
        <w:rPr>
          <w:spacing w:val="-19"/>
          <w:w w:val="110"/>
        </w:rPr>
        <w:t> </w:t>
      </w:r>
      <w:r>
        <w:rPr>
          <w:w w:val="110"/>
        </w:rPr>
        <w:t>WADA.</w:t>
      </w:r>
      <w:r>
        <w:rPr>
          <w:w w:val="110"/>
          <w:position w:val="6"/>
          <w:sz w:val="16"/>
        </w:rPr>
        <w:t>2</w:t>
      </w:r>
    </w:p>
    <w:p>
      <w:pPr>
        <w:pStyle w:val="BodyText"/>
        <w:rPr>
          <w:sz w:val="20"/>
        </w:rPr>
      </w:pPr>
    </w:p>
    <w:p>
      <w:pPr>
        <w:pStyle w:val="BodyText"/>
        <w:spacing w:before="4"/>
        <w:rPr>
          <w:sz w:val="25"/>
        </w:rPr>
      </w:pPr>
      <w:r>
        <w:rPr/>
        <w:pict>
          <v:line style="position:absolute;mso-position-horizontal-relative:page;mso-position-vertical-relative:paragraph;z-index:1240;mso-wrap-distance-left:0;mso-wrap-distance-right:0" from="90.839996pt,16.827303pt" to="234.959996pt,16.827303pt" stroked="true" strokeweight=".600010pt" strokecolor="#000000">
            <w10:wrap type="topAndBottom"/>
          </v:line>
        </w:pict>
      </w:r>
    </w:p>
    <w:p>
      <w:pPr>
        <w:spacing w:before="77"/>
        <w:ind w:left="119" w:right="0" w:firstLine="0"/>
        <w:jc w:val="left"/>
        <w:rPr>
          <w:sz w:val="19"/>
        </w:rPr>
      </w:pPr>
      <w:r>
        <w:rPr>
          <w:w w:val="99"/>
          <w:position w:val="5"/>
          <w:sz w:val="13"/>
        </w:rPr>
        <w:t>2</w:t>
      </w:r>
      <w:r>
        <w:rPr>
          <w:position w:val="5"/>
          <w:sz w:val="13"/>
        </w:rPr>
        <w:t> </w:t>
      </w:r>
      <w:r>
        <w:rPr>
          <w:spacing w:val="-15"/>
          <w:position w:val="5"/>
          <w:sz w:val="13"/>
        </w:rPr>
        <w:t> </w:t>
      </w:r>
      <w:r>
        <w:rPr>
          <w:spacing w:val="1"/>
          <w:w w:val="110"/>
          <w:sz w:val="19"/>
        </w:rPr>
        <w:t>W</w:t>
      </w:r>
      <w:r>
        <w:rPr>
          <w:spacing w:val="3"/>
          <w:w w:val="110"/>
          <w:sz w:val="19"/>
        </w:rPr>
        <w:t>o</w:t>
      </w:r>
      <w:r>
        <w:rPr>
          <w:spacing w:val="2"/>
          <w:w w:val="122"/>
          <w:sz w:val="19"/>
        </w:rPr>
        <w:t>r</w:t>
      </w:r>
      <w:r>
        <w:rPr>
          <w:w w:val="108"/>
          <w:sz w:val="19"/>
        </w:rPr>
        <w:t>l</w:t>
      </w:r>
      <w:r>
        <w:rPr>
          <w:w w:val="126"/>
          <w:sz w:val="19"/>
        </w:rPr>
        <w:t>d</w:t>
      </w:r>
      <w:r>
        <w:rPr>
          <w:spacing w:val="5"/>
          <w:sz w:val="19"/>
        </w:rPr>
        <w:t> </w:t>
      </w:r>
      <w:r>
        <w:rPr>
          <w:spacing w:val="1"/>
          <w:w w:val="116"/>
          <w:sz w:val="19"/>
        </w:rPr>
        <w:t>An</w:t>
      </w:r>
      <w:r>
        <w:rPr>
          <w:spacing w:val="-1"/>
          <w:w w:val="116"/>
          <w:sz w:val="19"/>
        </w:rPr>
        <w:t>t</w:t>
      </w:r>
      <w:r>
        <w:rPr>
          <w:w w:val="108"/>
          <w:sz w:val="19"/>
        </w:rPr>
        <w:t>i</w:t>
      </w:r>
      <w:r>
        <w:rPr>
          <w:spacing w:val="2"/>
          <w:w w:val="103"/>
          <w:sz w:val="19"/>
        </w:rPr>
        <w:t>-</w:t>
      </w:r>
      <w:r>
        <w:rPr>
          <w:spacing w:val="1"/>
          <w:w w:val="110"/>
          <w:sz w:val="19"/>
        </w:rPr>
        <w:t>D</w:t>
      </w:r>
      <w:r>
        <w:rPr>
          <w:spacing w:val="1"/>
          <w:w w:val="117"/>
          <w:sz w:val="19"/>
        </w:rPr>
        <w:t>opi</w:t>
      </w:r>
      <w:r>
        <w:rPr>
          <w:spacing w:val="3"/>
          <w:w w:val="117"/>
          <w:sz w:val="19"/>
        </w:rPr>
        <w:t>n</w:t>
      </w:r>
      <w:r>
        <w:rPr>
          <w:w w:val="115"/>
          <w:sz w:val="19"/>
        </w:rPr>
        <w:t>g</w:t>
      </w:r>
      <w:r>
        <w:rPr>
          <w:spacing w:val="3"/>
          <w:sz w:val="19"/>
        </w:rPr>
        <w:t> </w:t>
      </w:r>
      <w:r>
        <w:rPr>
          <w:spacing w:val="4"/>
          <w:w w:val="111"/>
          <w:sz w:val="19"/>
        </w:rPr>
        <w:t>A</w:t>
      </w:r>
      <w:r>
        <w:rPr>
          <w:spacing w:val="-1"/>
          <w:w w:val="115"/>
          <w:sz w:val="19"/>
        </w:rPr>
        <w:t>g</w:t>
      </w:r>
      <w:r>
        <w:rPr>
          <w:spacing w:val="1"/>
          <w:w w:val="116"/>
          <w:sz w:val="19"/>
        </w:rPr>
        <w:t>e</w:t>
      </w:r>
      <w:r>
        <w:rPr>
          <w:spacing w:val="3"/>
          <w:w w:val="116"/>
          <w:sz w:val="19"/>
        </w:rPr>
        <w:t>n</w:t>
      </w:r>
      <w:r>
        <w:rPr>
          <w:spacing w:val="1"/>
          <w:w w:val="109"/>
          <w:sz w:val="19"/>
        </w:rPr>
        <w:t>c</w:t>
      </w:r>
      <w:r>
        <w:rPr>
          <w:spacing w:val="-1"/>
          <w:w w:val="109"/>
          <w:sz w:val="19"/>
        </w:rPr>
        <w:t>y</w:t>
      </w:r>
      <w:r>
        <w:rPr>
          <w:w w:val="103"/>
          <w:sz w:val="19"/>
        </w:rPr>
        <w:t>,</w:t>
      </w:r>
      <w:r>
        <w:rPr>
          <w:spacing w:val="5"/>
          <w:sz w:val="19"/>
        </w:rPr>
        <w:t> </w:t>
      </w:r>
      <w:r>
        <w:rPr>
          <w:w w:val="103"/>
          <w:sz w:val="19"/>
        </w:rPr>
        <w:t>2</w:t>
      </w:r>
      <w:r>
        <w:rPr>
          <w:spacing w:val="1"/>
          <w:w w:val="103"/>
          <w:sz w:val="19"/>
        </w:rPr>
        <w:t>0</w:t>
      </w:r>
      <w:r>
        <w:rPr>
          <w:spacing w:val="3"/>
          <w:w w:val="103"/>
          <w:sz w:val="19"/>
        </w:rPr>
        <w:t>1</w:t>
      </w:r>
      <w:r>
        <w:rPr>
          <w:spacing w:val="2"/>
          <w:w w:val="103"/>
          <w:sz w:val="19"/>
        </w:rPr>
        <w:t>6</w:t>
      </w:r>
      <w:r>
        <w:rPr>
          <w:w w:val="103"/>
          <w:sz w:val="19"/>
        </w:rPr>
        <w:t>.</w:t>
      </w:r>
      <w:r>
        <w:rPr>
          <w:spacing w:val="1"/>
          <w:sz w:val="19"/>
        </w:rPr>
        <w:t> </w:t>
      </w:r>
      <w:r>
        <w:rPr>
          <w:spacing w:val="1"/>
          <w:w w:val="109"/>
          <w:sz w:val="19"/>
        </w:rPr>
        <w:t>[</w:t>
      </w:r>
      <w:r>
        <w:rPr>
          <w:spacing w:val="2"/>
          <w:w w:val="109"/>
          <w:sz w:val="19"/>
        </w:rPr>
        <w:t>O</w:t>
      </w:r>
      <w:r>
        <w:rPr>
          <w:spacing w:val="1"/>
          <w:w w:val="116"/>
          <w:sz w:val="19"/>
        </w:rPr>
        <w:t>nli</w:t>
      </w:r>
      <w:r>
        <w:rPr>
          <w:spacing w:val="3"/>
          <w:w w:val="116"/>
          <w:sz w:val="19"/>
        </w:rPr>
        <w:t>n</w:t>
      </w:r>
      <w:r>
        <w:rPr>
          <w:spacing w:val="1"/>
          <w:w w:val="108"/>
          <w:sz w:val="19"/>
        </w:rPr>
        <w:t>e</w:t>
      </w:r>
      <w:r>
        <w:rPr>
          <w:w w:val="108"/>
          <w:sz w:val="19"/>
        </w:rPr>
        <w:t>]</w:t>
      </w:r>
      <w:r>
        <w:rPr>
          <w:sz w:val="19"/>
        </w:rPr>
        <w:t> </w:t>
      </w:r>
      <w:r>
        <w:rPr>
          <w:spacing w:val="4"/>
          <w:w w:val="111"/>
          <w:sz w:val="19"/>
        </w:rPr>
        <w:t>A</w:t>
      </w:r>
      <w:r>
        <w:rPr>
          <w:spacing w:val="-1"/>
          <w:w w:val="116"/>
          <w:sz w:val="19"/>
        </w:rPr>
        <w:t>v</w:t>
      </w:r>
      <w:r>
        <w:rPr>
          <w:spacing w:val="3"/>
          <w:w w:val="116"/>
          <w:sz w:val="19"/>
        </w:rPr>
        <w:t>a</w:t>
      </w:r>
      <w:r>
        <w:rPr>
          <w:spacing w:val="1"/>
          <w:w w:val="108"/>
          <w:sz w:val="19"/>
        </w:rPr>
        <w:t>i</w:t>
      </w:r>
      <w:r>
        <w:rPr>
          <w:spacing w:val="3"/>
          <w:w w:val="108"/>
          <w:sz w:val="19"/>
        </w:rPr>
        <w:t>l</w:t>
      </w:r>
      <w:r>
        <w:rPr>
          <w:spacing w:val="-2"/>
          <w:w w:val="116"/>
          <w:sz w:val="19"/>
        </w:rPr>
        <w:t>a</w:t>
      </w:r>
      <w:r>
        <w:rPr>
          <w:spacing w:val="1"/>
          <w:w w:val="114"/>
          <w:sz w:val="19"/>
        </w:rPr>
        <w:t>b</w:t>
      </w:r>
      <w:r>
        <w:rPr>
          <w:spacing w:val="1"/>
          <w:w w:val="110"/>
          <w:sz w:val="19"/>
        </w:rPr>
        <w:t>l</w:t>
      </w:r>
      <w:r>
        <w:rPr>
          <w:w w:val="110"/>
          <w:sz w:val="19"/>
        </w:rPr>
        <w:t>e</w:t>
      </w:r>
      <w:r>
        <w:rPr>
          <w:spacing w:val="4"/>
          <w:sz w:val="19"/>
        </w:rPr>
        <w:t> </w:t>
      </w:r>
      <w:r>
        <w:rPr>
          <w:spacing w:val="2"/>
          <w:w w:val="116"/>
          <w:sz w:val="19"/>
        </w:rPr>
        <w:t>a</w:t>
      </w:r>
      <w:r>
        <w:rPr>
          <w:spacing w:val="-1"/>
          <w:w w:val="121"/>
          <w:sz w:val="19"/>
        </w:rPr>
        <w:t>t</w:t>
      </w:r>
      <w:r>
        <w:rPr>
          <w:w w:val="93"/>
          <w:sz w:val="19"/>
        </w:rPr>
        <w:t>:</w:t>
      </w:r>
      <w:r>
        <w:rPr>
          <w:spacing w:val="5"/>
          <w:sz w:val="19"/>
        </w:rPr>
        <w:t> </w:t>
      </w:r>
      <w:r>
        <w:rPr>
          <w:spacing w:val="-1"/>
          <w:w w:val="120"/>
          <w:sz w:val="19"/>
        </w:rPr>
        <w:t>h</w:t>
      </w:r>
      <w:r>
        <w:rPr>
          <w:spacing w:val="3"/>
          <w:w w:val="121"/>
          <w:sz w:val="19"/>
        </w:rPr>
        <w:t>t</w:t>
      </w:r>
      <w:r>
        <w:rPr>
          <w:spacing w:val="-1"/>
          <w:w w:val="121"/>
          <w:sz w:val="19"/>
        </w:rPr>
        <w:t>t</w:t>
      </w:r>
      <w:r>
        <w:rPr>
          <w:spacing w:val="4"/>
          <w:w w:val="124"/>
          <w:sz w:val="19"/>
        </w:rPr>
        <w:t>p</w:t>
      </w:r>
      <w:r>
        <w:rPr>
          <w:spacing w:val="-1"/>
          <w:w w:val="112"/>
          <w:sz w:val="19"/>
        </w:rPr>
        <w:t>s</w:t>
      </w:r>
      <w:r>
        <w:rPr>
          <w:spacing w:val="2"/>
          <w:w w:val="93"/>
          <w:sz w:val="19"/>
        </w:rPr>
        <w:t>:</w:t>
      </w:r>
      <w:r>
        <w:rPr>
          <w:spacing w:val="4"/>
          <w:w w:val="225"/>
          <w:sz w:val="19"/>
        </w:rPr>
        <w:t>/</w:t>
      </w:r>
      <w:r>
        <w:rPr>
          <w:spacing w:val="-1"/>
          <w:w w:val="148"/>
          <w:sz w:val="19"/>
        </w:rPr>
        <w:t>/</w:t>
      </w:r>
      <w:r>
        <w:rPr>
          <w:spacing w:val="5"/>
          <w:w w:val="148"/>
          <w:sz w:val="19"/>
        </w:rPr>
        <w:t>w</w:t>
      </w:r>
      <w:r>
        <w:rPr>
          <w:spacing w:val="1"/>
          <w:w w:val="119"/>
          <w:sz w:val="19"/>
        </w:rPr>
        <w:t>w</w:t>
      </w:r>
      <w:r>
        <w:rPr>
          <w:spacing w:val="4"/>
          <w:w w:val="119"/>
          <w:sz w:val="19"/>
        </w:rPr>
        <w:t>w</w:t>
      </w:r>
      <w:r>
        <w:rPr>
          <w:spacing w:val="-1"/>
          <w:w w:val="115"/>
          <w:sz w:val="19"/>
        </w:rPr>
        <w:t>.</w:t>
      </w:r>
      <w:r>
        <w:rPr>
          <w:spacing w:val="4"/>
          <w:w w:val="115"/>
          <w:sz w:val="19"/>
        </w:rPr>
        <w:t>w</w:t>
      </w:r>
      <w:r>
        <w:rPr>
          <w:spacing w:val="2"/>
          <w:w w:val="116"/>
          <w:sz w:val="19"/>
        </w:rPr>
        <w:t>a</w:t>
      </w:r>
      <w:r>
        <w:rPr>
          <w:spacing w:val="-1"/>
          <w:w w:val="126"/>
          <w:sz w:val="19"/>
        </w:rPr>
        <w:t>d</w:t>
      </w:r>
      <w:r>
        <w:rPr>
          <w:spacing w:val="1"/>
          <w:w w:val="116"/>
          <w:sz w:val="19"/>
        </w:rPr>
        <w:t>a</w:t>
      </w:r>
      <w:r>
        <w:rPr>
          <w:w w:val="103"/>
          <w:sz w:val="19"/>
        </w:rPr>
        <w:t>-</w:t>
      </w:r>
    </w:p>
    <w:p>
      <w:pPr>
        <w:spacing w:line="264" w:lineRule="auto" w:before="26"/>
        <w:ind w:left="119" w:right="311" w:firstLine="0"/>
        <w:jc w:val="left"/>
        <w:rPr>
          <w:sz w:val="19"/>
        </w:rPr>
      </w:pPr>
      <w:r>
        <w:rPr>
          <w:w w:val="117"/>
          <w:sz w:val="19"/>
        </w:rPr>
        <w:t>am</w:t>
      </w:r>
      <w:r>
        <w:rPr>
          <w:w w:val="111"/>
          <w:sz w:val="19"/>
        </w:rPr>
        <w:t>a.</w:t>
      </w:r>
      <w:r>
        <w:rPr>
          <w:w w:val="112"/>
          <w:sz w:val="19"/>
        </w:rPr>
        <w:t>o</w:t>
      </w:r>
      <w:r>
        <w:rPr>
          <w:w w:val="122"/>
          <w:sz w:val="19"/>
        </w:rPr>
        <w:t>r</w:t>
      </w:r>
      <w:r>
        <w:rPr>
          <w:w w:val="115"/>
          <w:sz w:val="19"/>
        </w:rPr>
        <w:t>g</w:t>
      </w:r>
      <w:r>
        <w:rPr>
          <w:w w:val="225"/>
          <w:sz w:val="19"/>
        </w:rPr>
        <w:t>/</w:t>
      </w:r>
      <w:r>
        <w:rPr>
          <w:w w:val="116"/>
          <w:sz w:val="19"/>
        </w:rPr>
        <w:t>en</w:t>
      </w:r>
      <w:r>
        <w:rPr>
          <w:w w:val="145"/>
          <w:sz w:val="19"/>
        </w:rPr>
        <w:t>/m</w:t>
      </w:r>
      <w:r>
        <w:rPr>
          <w:w w:val="111"/>
          <w:sz w:val="19"/>
        </w:rPr>
        <w:t>e</w:t>
      </w:r>
      <w:r>
        <w:rPr>
          <w:w w:val="126"/>
          <w:sz w:val="19"/>
        </w:rPr>
        <w:t>d</w:t>
      </w:r>
      <w:r>
        <w:rPr>
          <w:w w:val="113"/>
          <w:sz w:val="19"/>
        </w:rPr>
        <w:t>ia</w:t>
      </w:r>
      <w:r>
        <w:rPr>
          <w:w w:val="225"/>
          <w:sz w:val="19"/>
        </w:rPr>
        <w:t>/</w:t>
      </w:r>
      <w:r>
        <w:rPr>
          <w:w w:val="120"/>
          <w:sz w:val="19"/>
        </w:rPr>
        <w:t>n</w:t>
      </w:r>
      <w:r>
        <w:rPr>
          <w:w w:val="111"/>
          <w:sz w:val="19"/>
        </w:rPr>
        <w:t>e</w:t>
      </w:r>
      <w:r>
        <w:rPr>
          <w:w w:val="119"/>
          <w:sz w:val="19"/>
        </w:rPr>
        <w:t>w</w:t>
      </w:r>
      <w:r>
        <w:rPr>
          <w:w w:val="159"/>
          <w:sz w:val="19"/>
        </w:rPr>
        <w:t>s/</w:t>
      </w:r>
      <w:r>
        <w:rPr>
          <w:w w:val="103"/>
          <w:sz w:val="19"/>
        </w:rPr>
        <w:t>2016-06</w:t>
      </w:r>
      <w:r>
        <w:rPr>
          <w:w w:val="225"/>
          <w:sz w:val="19"/>
        </w:rPr>
        <w:t>/</w:t>
      </w:r>
      <w:r>
        <w:rPr>
          <w:w w:val="118"/>
          <w:sz w:val="19"/>
        </w:rPr>
        <w:t>wa</w:t>
      </w:r>
      <w:r>
        <w:rPr>
          <w:w w:val="121"/>
          <w:sz w:val="19"/>
        </w:rPr>
        <w:t>da</w:t>
      </w:r>
      <w:r>
        <w:rPr>
          <w:w w:val="115"/>
          <w:sz w:val="19"/>
        </w:rPr>
        <w:t>-su</w:t>
      </w:r>
      <w:r>
        <w:rPr>
          <w:w w:val="124"/>
          <w:sz w:val="19"/>
        </w:rPr>
        <w:t>p</w:t>
      </w:r>
      <w:r>
        <w:rPr>
          <w:w w:val="120"/>
          <w:sz w:val="19"/>
        </w:rPr>
        <w:t>port</w:t>
      </w:r>
      <w:r>
        <w:rPr>
          <w:w w:val="112"/>
          <w:sz w:val="19"/>
        </w:rPr>
        <w:t>s</w:t>
      </w:r>
      <w:r>
        <w:rPr>
          <w:w w:val="103"/>
          <w:sz w:val="19"/>
        </w:rPr>
        <w:t>-</w:t>
      </w:r>
      <w:r>
        <w:rPr>
          <w:w w:val="108"/>
          <w:sz w:val="19"/>
        </w:rPr>
        <w:t>i</w:t>
      </w:r>
      <w:r>
        <w:rPr>
          <w:w w:val="116"/>
          <w:sz w:val="19"/>
        </w:rPr>
        <w:t>a</w:t>
      </w:r>
      <w:r>
        <w:rPr>
          <w:w w:val="111"/>
          <w:sz w:val="19"/>
        </w:rPr>
        <w:t>af</w:t>
      </w:r>
      <w:r>
        <w:rPr>
          <w:w w:val="117"/>
          <w:sz w:val="19"/>
        </w:rPr>
        <w:t>-d</w:t>
      </w:r>
      <w:r>
        <w:rPr>
          <w:w w:val="111"/>
          <w:sz w:val="19"/>
        </w:rPr>
        <w:t>e</w:t>
      </w:r>
      <w:r>
        <w:rPr>
          <w:w w:val="103"/>
          <w:sz w:val="19"/>
        </w:rPr>
        <w:t>c</w:t>
      </w:r>
      <w:r>
        <w:rPr>
          <w:w w:val="108"/>
          <w:sz w:val="19"/>
        </w:rPr>
        <w:t>i</w:t>
      </w:r>
      <w:r>
        <w:rPr>
          <w:w w:val="112"/>
          <w:sz w:val="19"/>
        </w:rPr>
        <w:t>s</w:t>
      </w:r>
      <w:r>
        <w:rPr>
          <w:w w:val="111"/>
          <w:sz w:val="19"/>
        </w:rPr>
        <w:t>io</w:t>
      </w:r>
      <w:r>
        <w:rPr>
          <w:w w:val="113"/>
          <w:sz w:val="19"/>
        </w:rPr>
        <w:t>n-</w:t>
      </w:r>
      <w:r>
        <w:rPr>
          <w:w w:val="121"/>
          <w:sz w:val="19"/>
        </w:rPr>
        <w:t>t</w:t>
      </w:r>
      <w:r>
        <w:rPr>
          <w:w w:val="112"/>
          <w:sz w:val="19"/>
        </w:rPr>
        <w:t>o</w:t>
      </w:r>
      <w:r>
        <w:rPr>
          <w:w w:val="103"/>
          <w:sz w:val="19"/>
        </w:rPr>
        <w:t>-</w:t>
      </w:r>
      <w:r>
        <w:rPr>
          <w:w w:val="117"/>
          <w:sz w:val="19"/>
        </w:rPr>
        <w:t>m</w:t>
      </w:r>
      <w:r>
        <w:rPr>
          <w:w w:val="116"/>
          <w:sz w:val="19"/>
        </w:rPr>
        <w:t>a</w:t>
      </w:r>
      <w:r>
        <w:rPr>
          <w:w w:val="108"/>
          <w:sz w:val="19"/>
        </w:rPr>
        <w:t>i</w:t>
      </w:r>
      <w:r>
        <w:rPr>
          <w:w w:val="120"/>
          <w:sz w:val="19"/>
        </w:rPr>
        <w:t>n</w:t>
      </w:r>
      <w:r>
        <w:rPr>
          <w:w w:val="121"/>
          <w:sz w:val="19"/>
        </w:rPr>
        <w:t>t</w:t>
      </w:r>
      <w:r>
        <w:rPr>
          <w:w w:val="116"/>
          <w:sz w:val="19"/>
        </w:rPr>
        <w:t>a</w:t>
      </w:r>
      <w:r>
        <w:rPr>
          <w:w w:val="108"/>
          <w:sz w:val="19"/>
        </w:rPr>
        <w:t>i</w:t>
      </w:r>
      <w:r>
        <w:rPr>
          <w:w w:val="120"/>
          <w:sz w:val="19"/>
        </w:rPr>
        <w:t>n</w:t>
      </w:r>
      <w:r>
        <w:rPr>
          <w:w w:val="113"/>
          <w:sz w:val="19"/>
        </w:rPr>
        <w:t>-r</w:t>
      </w:r>
      <w:r>
        <w:rPr>
          <w:w w:val="124"/>
          <w:sz w:val="19"/>
        </w:rPr>
        <w:t>u</w:t>
      </w:r>
      <w:r>
        <w:rPr>
          <w:w w:val="112"/>
          <w:sz w:val="19"/>
        </w:rPr>
        <w:t>ss</w:t>
      </w:r>
      <w:r>
        <w:rPr>
          <w:w w:val="108"/>
          <w:sz w:val="19"/>
        </w:rPr>
        <w:t>i</w:t>
      </w:r>
      <w:r>
        <w:rPr>
          <w:w w:val="116"/>
          <w:sz w:val="19"/>
        </w:rPr>
        <w:t>a</w:t>
      </w:r>
      <w:r>
        <w:rPr>
          <w:w w:val="120"/>
          <w:sz w:val="19"/>
        </w:rPr>
        <w:t>n</w:t>
      </w:r>
      <w:r>
        <w:rPr>
          <w:w w:val="113"/>
          <w:sz w:val="19"/>
        </w:rPr>
        <w:t>-at</w:t>
      </w:r>
      <w:r>
        <w:rPr>
          <w:w w:val="120"/>
          <w:sz w:val="19"/>
        </w:rPr>
        <w:t>h</w:t>
      </w:r>
      <w:r>
        <w:rPr>
          <w:w w:val="108"/>
          <w:sz w:val="19"/>
        </w:rPr>
        <w:t>l</w:t>
      </w:r>
      <w:r>
        <w:rPr>
          <w:w w:val="111"/>
          <w:sz w:val="19"/>
        </w:rPr>
        <w:t>e</w:t>
      </w:r>
      <w:r>
        <w:rPr>
          <w:w w:val="121"/>
          <w:sz w:val="19"/>
        </w:rPr>
        <w:t>t</w:t>
      </w:r>
      <w:r>
        <w:rPr>
          <w:w w:val="108"/>
          <w:sz w:val="19"/>
        </w:rPr>
        <w:t>i</w:t>
      </w:r>
      <w:r>
        <w:rPr>
          <w:w w:val="103"/>
          <w:sz w:val="19"/>
        </w:rPr>
        <w:t>c</w:t>
      </w:r>
      <w:r>
        <w:rPr>
          <w:w w:val="112"/>
          <w:sz w:val="19"/>
        </w:rPr>
        <w:t>s</w:t>
      </w:r>
      <w:r>
        <w:rPr>
          <w:w w:val="103"/>
          <w:sz w:val="19"/>
        </w:rPr>
        <w:t>- </w:t>
      </w:r>
      <w:r>
        <w:rPr>
          <w:w w:val="115"/>
          <w:sz w:val="19"/>
        </w:rPr>
        <w:t>federation-suspension [Accessed 15 July 2016].</w:t>
      </w:r>
    </w:p>
    <w:p>
      <w:pPr>
        <w:pStyle w:val="BodyText"/>
        <w:rPr>
          <w:sz w:val="20"/>
        </w:rPr>
      </w:pPr>
    </w:p>
    <w:p>
      <w:pPr>
        <w:pStyle w:val="BodyText"/>
        <w:spacing w:before="10"/>
        <w:rPr>
          <w:sz w:val="20"/>
        </w:rPr>
      </w:pPr>
      <w:r>
        <w:rPr/>
        <w:drawing>
          <wp:anchor distT="0" distB="0" distL="0" distR="0" allowOverlap="1" layoutInCell="1" locked="0" behindDoc="0" simplePos="0" relativeHeight="1264">
            <wp:simplePos x="0" y="0"/>
            <wp:positionH relativeFrom="page">
              <wp:posOffset>6484620</wp:posOffset>
            </wp:positionH>
            <wp:positionV relativeFrom="paragraph">
              <wp:posOffset>177217</wp:posOffset>
            </wp:positionV>
            <wp:extent cx="149489" cy="102679"/>
            <wp:effectExtent l="0" t="0" r="0" b="0"/>
            <wp:wrapTopAndBottom/>
            <wp:docPr id="15" name="image9.png" descr=""/>
            <wp:cNvGraphicFramePr>
              <a:graphicFrameLocks noChangeAspect="1"/>
            </wp:cNvGraphicFramePr>
            <a:graphic>
              <a:graphicData uri="http://schemas.openxmlformats.org/drawingml/2006/picture">
                <pic:pic>
                  <pic:nvPicPr>
                    <pic:cNvPr id="16" name="image9.png"/>
                    <pic:cNvPicPr/>
                  </pic:nvPicPr>
                  <pic:blipFill>
                    <a:blip r:embed="rId27" cstate="print"/>
                    <a:stretch>
                      <a:fillRect/>
                    </a:stretch>
                  </pic:blipFill>
                  <pic:spPr>
                    <a:xfrm>
                      <a:off x="0" y="0"/>
                      <a:ext cx="149489" cy="102679"/>
                    </a:xfrm>
                    <a:prstGeom prst="rect">
                      <a:avLst/>
                    </a:prstGeom>
                  </pic:spPr>
                </pic:pic>
              </a:graphicData>
            </a:graphic>
          </wp:anchor>
        </w:drawing>
      </w:r>
    </w:p>
    <w:p>
      <w:pPr>
        <w:spacing w:after="0"/>
        <w:rPr>
          <w:sz w:val="20"/>
        </w:rPr>
        <w:sectPr>
          <w:footerReference w:type="default" r:id="rId26"/>
          <w:pgSz w:w="12240" w:h="15840"/>
          <w:pgMar w:footer="0" w:header="0" w:top="1440" w:bottom="280" w:left="1700" w:right="1680"/>
        </w:sectPr>
      </w:pPr>
    </w:p>
    <w:p>
      <w:pPr>
        <w:pStyle w:val="ListParagraph"/>
        <w:numPr>
          <w:ilvl w:val="2"/>
          <w:numId w:val="11"/>
        </w:numPr>
        <w:tabs>
          <w:tab w:pos="659" w:val="left" w:leader="none"/>
        </w:tabs>
        <w:spacing w:line="312" w:lineRule="exact" w:before="0" w:after="0"/>
        <w:ind w:left="658" w:right="0" w:hanging="539"/>
        <w:jc w:val="both"/>
        <w:rPr>
          <w:rFonts w:ascii="Palatino Linotype"/>
          <w:sz w:val="24"/>
        </w:rPr>
      </w:pPr>
      <w:r>
        <w:rPr>
          <w:rFonts w:ascii="Palatino Linotype"/>
          <w:w w:val="105"/>
          <w:sz w:val="24"/>
        </w:rPr>
        <w:t>IP</w:t>
      </w:r>
      <w:r>
        <w:rPr>
          <w:rFonts w:ascii="Palatino Linotype"/>
          <w:spacing w:val="-18"/>
          <w:w w:val="105"/>
          <w:sz w:val="24"/>
        </w:rPr>
        <w:t> </w:t>
      </w:r>
      <w:r>
        <w:rPr>
          <w:rFonts w:ascii="Palatino Linotype"/>
          <w:w w:val="105"/>
          <w:sz w:val="24"/>
        </w:rPr>
        <w:t>Findings</w:t>
      </w:r>
    </w:p>
    <w:p>
      <w:pPr>
        <w:pStyle w:val="BodyText"/>
        <w:rPr>
          <w:rFonts w:ascii="Palatino Linotype"/>
        </w:rPr>
      </w:pPr>
    </w:p>
    <w:p>
      <w:pPr>
        <w:pStyle w:val="BodyText"/>
        <w:spacing w:before="1"/>
        <w:rPr>
          <w:rFonts w:ascii="Palatino Linotype"/>
          <w:sz w:val="29"/>
        </w:rPr>
      </w:pPr>
    </w:p>
    <w:p>
      <w:pPr>
        <w:pStyle w:val="ListParagraph"/>
        <w:numPr>
          <w:ilvl w:val="3"/>
          <w:numId w:val="11"/>
        </w:numPr>
        <w:tabs>
          <w:tab w:pos="840" w:val="left" w:leader="none"/>
        </w:tabs>
        <w:spacing w:line="504" w:lineRule="auto" w:before="1" w:after="0"/>
        <w:ind w:left="839" w:right="106" w:hanging="360"/>
        <w:jc w:val="left"/>
        <w:rPr>
          <w:sz w:val="24"/>
        </w:rPr>
      </w:pPr>
      <w:r>
        <w:rPr>
          <w:w w:val="110"/>
          <w:sz w:val="24"/>
        </w:rPr>
        <w:t>The ongoing work of the IP investigation after the letter to the IAAF reinforced the conclusions</w:t>
      </w:r>
      <w:r>
        <w:rPr>
          <w:spacing w:val="-15"/>
          <w:w w:val="110"/>
          <w:sz w:val="24"/>
        </w:rPr>
        <w:t> </w:t>
      </w:r>
      <w:r>
        <w:rPr>
          <w:w w:val="110"/>
          <w:sz w:val="24"/>
        </w:rPr>
        <w:t>therein.</w:t>
      </w:r>
    </w:p>
    <w:p>
      <w:pPr>
        <w:pStyle w:val="BodyText"/>
      </w:pPr>
    </w:p>
    <w:p>
      <w:pPr>
        <w:pStyle w:val="BodyText"/>
      </w:pPr>
    </w:p>
    <w:p>
      <w:pPr>
        <w:pStyle w:val="BodyText"/>
        <w:spacing w:before="205"/>
        <w:ind w:left="119"/>
        <w:jc w:val="both"/>
        <w:rPr>
          <w:rFonts w:ascii="Palatino Linotype"/>
        </w:rPr>
      </w:pPr>
      <w:r>
        <w:rPr>
          <w:rFonts w:ascii="Palatino Linotype"/>
          <w:w w:val="105"/>
        </w:rPr>
        <w:t>2.5 The Mandate</w:t>
      </w:r>
    </w:p>
    <w:p>
      <w:pPr>
        <w:pStyle w:val="BodyText"/>
        <w:rPr>
          <w:rFonts w:ascii="Palatino Linotype"/>
        </w:rPr>
      </w:pPr>
    </w:p>
    <w:p>
      <w:pPr>
        <w:pStyle w:val="BodyText"/>
        <w:spacing w:before="6"/>
        <w:rPr>
          <w:rFonts w:ascii="Palatino Linotype"/>
          <w:sz w:val="18"/>
        </w:rPr>
      </w:pPr>
    </w:p>
    <w:p>
      <w:pPr>
        <w:pStyle w:val="BodyText"/>
        <w:spacing w:line="504" w:lineRule="auto"/>
        <w:ind w:left="119" w:right="105"/>
        <w:jc w:val="both"/>
      </w:pPr>
      <w:r>
        <w:rPr>
          <w:w w:val="110"/>
        </w:rPr>
        <w:t>The IP mandate was to corroborate or refute the allegations as reported  and placed in the public domain by Dr. Rodchenkov by conducting a thorough and comprehensive investigation. The investigation required a forensic examination of carefully selected doping control bottles and the urine contained therein from the Sochi Games, as well as from the doping control bottles seized from the Moscow</w:t>
      </w:r>
      <w:r>
        <w:rPr>
          <w:spacing w:val="-28"/>
          <w:w w:val="110"/>
        </w:rPr>
        <w:t> </w:t>
      </w:r>
      <w:r>
        <w:rPr>
          <w:w w:val="110"/>
        </w:rPr>
        <w:t>Laboratory</w:t>
      </w:r>
      <w:r>
        <w:rPr>
          <w:spacing w:val="-28"/>
          <w:w w:val="110"/>
        </w:rPr>
        <w:t> </w:t>
      </w:r>
      <w:r>
        <w:rPr>
          <w:w w:val="110"/>
        </w:rPr>
        <w:t>in</w:t>
      </w:r>
      <w:r>
        <w:rPr>
          <w:spacing w:val="-28"/>
          <w:w w:val="110"/>
        </w:rPr>
        <w:t> </w:t>
      </w:r>
      <w:r>
        <w:rPr>
          <w:w w:val="110"/>
        </w:rPr>
        <w:t>December</w:t>
      </w:r>
      <w:r>
        <w:rPr>
          <w:spacing w:val="-28"/>
          <w:w w:val="110"/>
        </w:rPr>
        <w:t> </w:t>
      </w:r>
      <w:r>
        <w:rPr>
          <w:w w:val="110"/>
        </w:rPr>
        <w:t>2014.</w:t>
      </w:r>
    </w:p>
    <w:p>
      <w:pPr>
        <w:pStyle w:val="BodyText"/>
      </w:pPr>
    </w:p>
    <w:p>
      <w:pPr>
        <w:pStyle w:val="BodyText"/>
        <w:spacing w:before="2"/>
        <w:rPr>
          <w:sz w:val="27"/>
        </w:rPr>
      </w:pPr>
    </w:p>
    <w:p>
      <w:pPr>
        <w:pStyle w:val="BodyText"/>
        <w:spacing w:line="504" w:lineRule="auto"/>
        <w:ind w:left="119" w:right="108"/>
        <w:jc w:val="both"/>
      </w:pPr>
      <w:r>
        <w:rPr>
          <w:w w:val="110"/>
        </w:rPr>
        <w:t>Olivier Rabin wrote to Dr. Rodchenkov in December 2014 requesting to secure and save all the samples being held at the Moscow Laboratory. There were some 10,000 samples in the Laboratory at the date of that letter. Shortly after its receipt in Moscow, the Laboratory destroyed some 8,000 samples it held dated prior to</w:t>
      </w:r>
      <w:r>
        <w:rPr>
          <w:spacing w:val="66"/>
          <w:w w:val="110"/>
        </w:rPr>
        <w:t> </w:t>
      </w:r>
      <w:r>
        <w:rPr>
          <w:w w:val="110"/>
        </w:rPr>
        <w:t>10 September 2014. The IC reported on this in its first Report, which the IC believed at the time the number was much lower.</w:t>
      </w:r>
    </w:p>
    <w:p>
      <w:pPr>
        <w:pStyle w:val="BodyText"/>
      </w:pPr>
    </w:p>
    <w:p>
      <w:pPr>
        <w:pStyle w:val="BodyText"/>
        <w:spacing w:before="2"/>
        <w:rPr>
          <w:sz w:val="27"/>
        </w:rPr>
      </w:pPr>
    </w:p>
    <w:p>
      <w:pPr>
        <w:pStyle w:val="BodyText"/>
        <w:spacing w:line="501" w:lineRule="auto"/>
        <w:ind w:left="119" w:right="109"/>
        <w:jc w:val="both"/>
      </w:pPr>
      <w:r>
        <w:rPr>
          <w:w w:val="110"/>
        </w:rPr>
        <w:t>The compressed time frame in which to compile this Report has left much of the possible evidence unreviewed. This Report has skimmed the surface of the  </w:t>
      </w:r>
      <w:r>
        <w:rPr>
          <w:spacing w:val="58"/>
          <w:w w:val="110"/>
        </w:rPr>
        <w:t> </w:t>
      </w:r>
      <w:r>
        <w:rPr>
          <w:w w:val="110"/>
        </w:rPr>
        <w:t>data</w:t>
      </w:r>
    </w:p>
    <w:p>
      <w:pPr>
        <w:spacing w:after="0" w:line="501" w:lineRule="auto"/>
        <w:jc w:val="both"/>
        <w:sectPr>
          <w:footerReference w:type="default" r:id="rId28"/>
          <w:pgSz w:w="12240" w:h="15840"/>
          <w:pgMar w:footer="707" w:header="0" w:top="1440" w:bottom="900" w:left="1700" w:right="1680"/>
        </w:sectPr>
      </w:pPr>
    </w:p>
    <w:p>
      <w:pPr>
        <w:pStyle w:val="BodyText"/>
        <w:spacing w:line="504" w:lineRule="auto" w:before="16"/>
        <w:ind w:left="119" w:right="107"/>
        <w:jc w:val="both"/>
      </w:pPr>
      <w:r>
        <w:rPr>
          <w:w w:val="110"/>
        </w:rPr>
        <w:t>that is available or could be available. As I write this Report our task is incomplete. There is much data that we have yet to translate  and  examine. Those matters will require further work. There is no doubt there is more to be revealed. However, we are confident that what we have found meets the highest evidentiary standard and can be stated with confidence.</w:t>
      </w:r>
      <w:r>
        <w:rPr>
          <w:spacing w:val="66"/>
          <w:w w:val="110"/>
        </w:rPr>
        <w:t> </w:t>
      </w:r>
      <w:r>
        <w:rPr>
          <w:w w:val="110"/>
        </w:rPr>
        <w:t>Any matters where I </w:t>
      </w:r>
      <w:r>
        <w:rPr>
          <w:spacing w:val="66"/>
          <w:w w:val="110"/>
        </w:rPr>
        <w:t> </w:t>
      </w:r>
      <w:r>
        <w:rPr>
          <w:w w:val="110"/>
        </w:rPr>
        <w:t>felt the evidence did not meet the standard of beyond a reasonable doubt have</w:t>
      </w:r>
      <w:r>
        <w:rPr>
          <w:spacing w:val="66"/>
          <w:w w:val="110"/>
        </w:rPr>
        <w:t> </w:t>
      </w:r>
      <w:r>
        <w:rPr>
          <w:w w:val="110"/>
        </w:rPr>
        <w:t>not been included in this Report. In order to demonstrate that we have hard credible evidence we have chosen to publish selected portions of the evidence we have obtained. The volume of supporting information is too extensive to publish in this Report.</w:t>
      </w:r>
      <w:r>
        <w:rPr>
          <w:spacing w:val="66"/>
          <w:w w:val="110"/>
        </w:rPr>
        <w:t> </w:t>
      </w:r>
      <w:r>
        <w:rPr>
          <w:w w:val="110"/>
        </w:rPr>
        <w:t>I also do not wish to put anyone at risk with the information I</w:t>
      </w:r>
      <w:r>
        <w:rPr>
          <w:spacing w:val="66"/>
          <w:w w:val="110"/>
        </w:rPr>
        <w:t> </w:t>
      </w:r>
      <w:r>
        <w:rPr>
          <w:w w:val="110"/>
        </w:rPr>
        <w:t>have</w:t>
      </w:r>
      <w:r>
        <w:rPr>
          <w:spacing w:val="31"/>
          <w:w w:val="110"/>
        </w:rPr>
        <w:t> </w:t>
      </w:r>
      <w:r>
        <w:rPr>
          <w:w w:val="110"/>
        </w:rPr>
        <w:t>reported.</w:t>
      </w:r>
    </w:p>
    <w:p>
      <w:pPr>
        <w:spacing w:after="0" w:line="504" w:lineRule="auto"/>
        <w:jc w:val="both"/>
        <w:sectPr>
          <w:pgSz w:w="12240" w:h="15840"/>
          <w:pgMar w:header="0" w:footer="707" w:top="1440" w:bottom="900" w:left="1700" w:right="1680"/>
        </w:sectPr>
      </w:pPr>
    </w:p>
    <w:p>
      <w:pPr>
        <w:pStyle w:val="Heading1"/>
        <w:spacing w:line="342" w:lineRule="exact"/>
      </w:pPr>
      <w:bookmarkStart w:name="_TOC_250004" w:id="4"/>
      <w:bookmarkEnd w:id="4"/>
      <w:r>
        <w:rPr>
          <w:w w:val="105"/>
        </w:rPr>
        <w:t>Chapter 3: The Moscow Laboratory &amp; the Disappearing Positives</w:t>
      </w:r>
    </w:p>
    <w:p>
      <w:pPr>
        <w:pStyle w:val="BodyText"/>
        <w:rPr>
          <w:rFonts w:ascii="Palatino Linotype"/>
          <w:sz w:val="28"/>
        </w:rPr>
      </w:pPr>
    </w:p>
    <w:p>
      <w:pPr>
        <w:pStyle w:val="BodyText"/>
        <w:rPr>
          <w:rFonts w:ascii="Palatino Linotype"/>
          <w:sz w:val="28"/>
        </w:rPr>
      </w:pPr>
    </w:p>
    <w:p>
      <w:pPr>
        <w:pStyle w:val="BodyText"/>
        <w:rPr>
          <w:rFonts w:ascii="Palatino Linotype"/>
          <w:sz w:val="28"/>
        </w:rPr>
      </w:pPr>
    </w:p>
    <w:p>
      <w:pPr>
        <w:pStyle w:val="BodyText"/>
        <w:spacing w:before="10"/>
        <w:rPr>
          <w:rFonts w:ascii="Palatino Linotype"/>
          <w:sz w:val="34"/>
        </w:rPr>
      </w:pPr>
    </w:p>
    <w:p>
      <w:pPr>
        <w:pStyle w:val="BodyText"/>
        <w:spacing w:line="504" w:lineRule="auto"/>
        <w:ind w:left="119" w:right="107"/>
        <w:jc w:val="both"/>
      </w:pPr>
      <w:r>
        <w:rPr>
          <w:w w:val="110"/>
        </w:rPr>
        <w:t>Although the IP investigation began with a focus on the Sochi allegations, it became increasingly evident that a much wider investigative scope beyond Sochi was required. The collected evidence assessed and corroborated through the course of this investigation has uncovered a simple and effective system</w:t>
      </w:r>
      <w:r>
        <w:rPr>
          <w:spacing w:val="66"/>
          <w:w w:val="110"/>
        </w:rPr>
        <w:t> </w:t>
      </w:r>
      <w:r>
        <w:rPr>
          <w:w w:val="110"/>
        </w:rPr>
        <w:t>operated to conceal Russian athletes' PED use in order to allow them to compete at national and international competitions. The Moscow Laboratory was an integral participant in the operation of this system. It therefore becomes critical</w:t>
      </w:r>
      <w:r>
        <w:rPr>
          <w:spacing w:val="66"/>
          <w:w w:val="110"/>
        </w:rPr>
        <w:t> </w:t>
      </w:r>
      <w:r>
        <w:rPr>
          <w:w w:val="110"/>
        </w:rPr>
        <w:t>to understand how the Moscow Laboratory functioned within the State system in order to fully appreciate the unique scheme that was developed for the Sochi Games.</w:t>
      </w:r>
    </w:p>
    <w:p>
      <w:pPr>
        <w:pStyle w:val="BodyText"/>
      </w:pPr>
    </w:p>
    <w:p>
      <w:pPr>
        <w:pStyle w:val="BodyText"/>
        <w:spacing w:before="2"/>
        <w:rPr>
          <w:sz w:val="27"/>
        </w:rPr>
      </w:pPr>
    </w:p>
    <w:p>
      <w:pPr>
        <w:pStyle w:val="BodyText"/>
        <w:spacing w:line="496" w:lineRule="auto"/>
        <w:ind w:left="119" w:right="102"/>
        <w:jc w:val="both"/>
      </w:pPr>
      <w:r>
        <w:rPr>
          <w:w w:val="110"/>
        </w:rPr>
        <w:t>This chapter describes the system as alleged by the IP witnesses, and which is confirmed by forensic examination of data. This combination of corroborating and analytical evidence of stored urine samples allows the IP to conclude beyond a reasonable doubt that this was the    </w:t>
      </w:r>
      <w:r>
        <w:rPr>
          <w:rFonts w:ascii="Palatino Linotype"/>
          <w:i/>
          <w:w w:val="110"/>
        </w:rPr>
        <w:t>modus operandi </w:t>
      </w:r>
      <w:r>
        <w:rPr>
          <w:w w:val="110"/>
        </w:rPr>
        <w:t>of State directed oversight</w:t>
      </w:r>
    </w:p>
    <w:p>
      <w:pPr>
        <w:pStyle w:val="BodyText"/>
        <w:spacing w:line="214" w:lineRule="exact"/>
        <w:ind w:left="119"/>
        <w:jc w:val="both"/>
      </w:pPr>
      <w:r>
        <w:rPr>
          <w:w w:val="110"/>
        </w:rPr>
        <w:t>and control of the Moscow Laboratory anti-doping operational system.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r>
        <w:rPr/>
        <w:pict>
          <v:group style="position:absolute;margin-left:510.600006pt;margin-top:13.454057pt;width:11.8pt;height:8.2pt;mso-position-horizontal-relative:page;mso-position-vertical-relative:paragraph;z-index:1288;mso-wrap-distance-left:0;mso-wrap-distance-right:0" coordorigin="10212,269" coordsize="236,164">
            <v:shape style="position:absolute;left:10212;top:269;width:96;height:164" coordorigin="10212,269" coordsize="96,164" path="m10294,279l10270,279,10272,283,10277,286,10279,288,10284,298,10284,317,10282,319,10282,324,10279,327,10277,331,10277,336,10267,346,10265,351,10258,360,10248,370,10238,382,10224,401,10219,408,10214,418,10212,425,10212,432,10306,432,10307,413,10234,413,10240,404,10248,394,10257,383,10267,372,10274,363,10282,355,10284,351,10291,343,10296,334,10298,331,10301,327,10303,324,10303,317,10306,315,10306,293,10301,283,10294,279xm10308,399l10298,399,10296,401,10296,406,10291,411,10289,411,10286,413,10307,413,10308,399xm10277,269l10248,269,10241,271,10231,274,10224,276,10214,281,10214,303,10229,303,10234,286,10243,279,10294,279,10286,271,10277,269xe" filled="true" fillcolor="#000000" stroked="false">
              <v:path arrowok="t"/>
              <v:fill type="solid"/>
            </v:shape>
            <v:shape style="position:absolute;left:10344;top:271;width:103;height:161" type="#_x0000_t75" stroked="false">
              <v:imagedata r:id="rId19" o:title=""/>
            </v:shape>
            <w10:wrap type="topAndBottom"/>
          </v:group>
        </w:pict>
      </w:r>
    </w:p>
    <w:p>
      <w:pPr>
        <w:spacing w:after="0"/>
        <w:rPr>
          <w:sz w:val="20"/>
        </w:rPr>
        <w:sectPr>
          <w:footerReference w:type="default" r:id="rId29"/>
          <w:pgSz w:w="12240" w:h="15840"/>
          <w:pgMar w:footer="0" w:header="0" w:top="1460" w:bottom="280" w:left="1700" w:right="1680"/>
        </w:sectPr>
      </w:pPr>
    </w:p>
    <w:p>
      <w:pPr>
        <w:pStyle w:val="BodyText"/>
        <w:spacing w:line="307" w:lineRule="exact"/>
        <w:ind w:left="119"/>
        <w:jc w:val="both"/>
        <w:rPr>
          <w:rFonts w:ascii="Palatino Linotype"/>
        </w:rPr>
      </w:pPr>
      <w:r>
        <w:rPr>
          <w:rFonts w:ascii="Palatino Linotype"/>
          <w:w w:val="105"/>
        </w:rPr>
        <w:t>3.1 The IC Findings on the Moscow Laboratory</w:t>
      </w:r>
    </w:p>
    <w:p>
      <w:pPr>
        <w:pStyle w:val="BodyText"/>
        <w:rPr>
          <w:rFonts w:ascii="Palatino Linotype"/>
        </w:rPr>
      </w:pPr>
    </w:p>
    <w:p>
      <w:pPr>
        <w:pStyle w:val="BodyText"/>
        <w:spacing w:before="11"/>
        <w:rPr>
          <w:rFonts w:ascii="Palatino Linotype"/>
          <w:sz w:val="18"/>
        </w:rPr>
      </w:pPr>
    </w:p>
    <w:p>
      <w:pPr>
        <w:pStyle w:val="BodyText"/>
        <w:spacing w:line="504" w:lineRule="auto"/>
        <w:ind w:left="119" w:right="107"/>
        <w:jc w:val="both"/>
      </w:pPr>
      <w:r>
        <w:rPr>
          <w:w w:val="110"/>
        </w:rPr>
        <w:t>The IC Report of 09 November 2015 describes the then accredited Moscow accredited laboratory and its operation. This Report will not reiterate  its</w:t>
      </w:r>
      <w:r>
        <w:rPr>
          <w:spacing w:val="66"/>
          <w:w w:val="110"/>
        </w:rPr>
        <w:t> </w:t>
      </w:r>
      <w:r>
        <w:rPr>
          <w:w w:val="110"/>
        </w:rPr>
        <w:t>contents. Suffice it to say, the IC found many irregularities and problems and recommended to WADA that the laboratory be declared non-compliant with the World Anti-Doping Code (the "Code"). That recommendation was immediately accepted by WADA. The operations of the Moscow Laboratory were suspended as</w:t>
      </w:r>
      <w:r>
        <w:rPr>
          <w:spacing w:val="-12"/>
          <w:w w:val="110"/>
        </w:rPr>
        <w:t> </w:t>
      </w:r>
      <w:r>
        <w:rPr>
          <w:w w:val="110"/>
        </w:rPr>
        <w:t>of</w:t>
      </w:r>
      <w:r>
        <w:rPr>
          <w:spacing w:val="-12"/>
          <w:w w:val="110"/>
        </w:rPr>
        <w:t> </w:t>
      </w:r>
      <w:r>
        <w:rPr>
          <w:w w:val="110"/>
        </w:rPr>
        <w:t>10</w:t>
      </w:r>
      <w:r>
        <w:rPr>
          <w:spacing w:val="-12"/>
          <w:w w:val="110"/>
        </w:rPr>
        <w:t> </w:t>
      </w:r>
      <w:r>
        <w:rPr>
          <w:w w:val="110"/>
        </w:rPr>
        <w:t>November</w:t>
      </w:r>
      <w:r>
        <w:rPr>
          <w:spacing w:val="-12"/>
          <w:w w:val="110"/>
        </w:rPr>
        <w:t> </w:t>
      </w:r>
      <w:r>
        <w:rPr>
          <w:w w:val="110"/>
        </w:rPr>
        <w:t>2015</w:t>
      </w:r>
      <w:r>
        <w:rPr>
          <w:spacing w:val="-12"/>
          <w:w w:val="110"/>
        </w:rPr>
        <w:t> </w:t>
      </w:r>
      <w:r>
        <w:rPr>
          <w:w w:val="110"/>
        </w:rPr>
        <w:t>and</w:t>
      </w:r>
      <w:r>
        <w:rPr>
          <w:spacing w:val="-12"/>
          <w:w w:val="110"/>
        </w:rPr>
        <w:t> </w:t>
      </w:r>
      <w:r>
        <w:rPr>
          <w:w w:val="110"/>
        </w:rPr>
        <w:t>have</w:t>
      </w:r>
      <w:r>
        <w:rPr>
          <w:spacing w:val="-9"/>
          <w:w w:val="110"/>
        </w:rPr>
        <w:t> </w:t>
      </w:r>
      <w:r>
        <w:rPr>
          <w:w w:val="110"/>
        </w:rPr>
        <w:t>lost</w:t>
      </w:r>
      <w:r>
        <w:rPr>
          <w:spacing w:val="-14"/>
          <w:w w:val="110"/>
        </w:rPr>
        <w:t> </w:t>
      </w:r>
      <w:r>
        <w:rPr>
          <w:w w:val="110"/>
        </w:rPr>
        <w:t>their</w:t>
      </w:r>
      <w:r>
        <w:rPr>
          <w:spacing w:val="-10"/>
          <w:w w:val="110"/>
        </w:rPr>
        <w:t> </w:t>
      </w:r>
      <w:r>
        <w:rPr>
          <w:w w:val="110"/>
        </w:rPr>
        <w:t>accreditation</w:t>
      </w:r>
      <w:r>
        <w:rPr>
          <w:spacing w:val="-12"/>
          <w:w w:val="110"/>
        </w:rPr>
        <w:t> </w:t>
      </w:r>
      <w:r>
        <w:rPr>
          <w:w w:val="110"/>
        </w:rPr>
        <w:t>as</w:t>
      </w:r>
      <w:r>
        <w:rPr>
          <w:spacing w:val="-10"/>
          <w:w w:val="110"/>
        </w:rPr>
        <w:t> </w:t>
      </w:r>
      <w:r>
        <w:rPr>
          <w:w w:val="110"/>
        </w:rPr>
        <w:t>of</w:t>
      </w:r>
      <w:r>
        <w:rPr>
          <w:spacing w:val="-10"/>
          <w:w w:val="110"/>
        </w:rPr>
        <w:t> </w:t>
      </w:r>
      <w:r>
        <w:rPr>
          <w:w w:val="110"/>
        </w:rPr>
        <w:t>15</w:t>
      </w:r>
      <w:r>
        <w:rPr>
          <w:spacing w:val="-12"/>
          <w:w w:val="110"/>
        </w:rPr>
        <w:t> </w:t>
      </w:r>
      <w:r>
        <w:rPr>
          <w:w w:val="110"/>
        </w:rPr>
        <w:t>April</w:t>
      </w:r>
      <w:r>
        <w:rPr>
          <w:spacing w:val="-12"/>
          <w:w w:val="110"/>
        </w:rPr>
        <w:t> </w:t>
      </w:r>
      <w:r>
        <w:rPr>
          <w:w w:val="110"/>
        </w:rPr>
        <w:t>2016.</w:t>
      </w:r>
      <w:r>
        <w:rPr>
          <w:spacing w:val="44"/>
          <w:w w:val="110"/>
        </w:rPr>
        <w:t> </w:t>
      </w:r>
      <w:r>
        <w:rPr>
          <w:w w:val="110"/>
        </w:rPr>
        <w:t>The suspension was confirmed at the WADA Foundation Board meetings in</w:t>
      </w:r>
      <w:r>
        <w:rPr>
          <w:spacing w:val="66"/>
          <w:w w:val="110"/>
        </w:rPr>
        <w:t> </w:t>
      </w:r>
      <w:r>
        <w:rPr>
          <w:w w:val="110"/>
        </w:rPr>
        <w:t>Colorado Springs the following</w:t>
      </w:r>
      <w:r>
        <w:rPr>
          <w:spacing w:val="-18"/>
          <w:w w:val="110"/>
        </w:rPr>
        <w:t> </w:t>
      </w:r>
      <w:r>
        <w:rPr>
          <w:w w:val="110"/>
        </w:rPr>
        <w:t>week.</w:t>
      </w:r>
    </w:p>
    <w:p>
      <w:pPr>
        <w:pStyle w:val="BodyText"/>
      </w:pPr>
    </w:p>
    <w:p>
      <w:pPr>
        <w:pStyle w:val="BodyText"/>
        <w:spacing w:before="8"/>
      </w:pPr>
    </w:p>
    <w:p>
      <w:pPr>
        <w:spacing w:line="429" w:lineRule="auto" w:before="0"/>
        <w:ind w:left="119" w:right="103" w:firstLine="0"/>
        <w:jc w:val="both"/>
        <w:rPr>
          <w:sz w:val="24"/>
        </w:rPr>
      </w:pPr>
      <w:r>
        <w:rPr>
          <w:w w:val="105"/>
          <w:sz w:val="24"/>
        </w:rPr>
        <w:t>The IC Report identified issues of </w:t>
      </w:r>
      <w:r>
        <w:rPr>
          <w:w w:val="200"/>
          <w:sz w:val="24"/>
        </w:rPr>
        <w:t>" </w:t>
      </w:r>
      <w:r>
        <w:rPr>
          <w:rFonts w:ascii="Palatino Linotype"/>
          <w:i/>
          <w:w w:val="105"/>
          <w:sz w:val="24"/>
        </w:rPr>
        <w:t>grave concern in regard to integrity,  </w:t>
      </w:r>
      <w:r>
        <w:rPr>
          <w:rFonts w:ascii="Palatino Linotype"/>
          <w:i/>
          <w:w w:val="105"/>
          <w:sz w:val="24"/>
        </w:rPr>
        <w:t>corruption,</w:t>
      </w:r>
      <w:r>
        <w:rPr>
          <w:rFonts w:ascii="Palatino Linotype"/>
          <w:i/>
          <w:spacing w:val="-25"/>
          <w:w w:val="105"/>
          <w:sz w:val="24"/>
        </w:rPr>
        <w:t> </w:t>
      </w:r>
      <w:r>
        <w:rPr>
          <w:rFonts w:ascii="Palatino Linotype"/>
          <w:i/>
          <w:w w:val="105"/>
          <w:sz w:val="24"/>
        </w:rPr>
        <w:t>handling</w:t>
      </w:r>
      <w:r>
        <w:rPr>
          <w:rFonts w:ascii="Palatino Linotype"/>
          <w:i/>
          <w:spacing w:val="-24"/>
          <w:w w:val="105"/>
          <w:sz w:val="24"/>
        </w:rPr>
        <w:t> </w:t>
      </w:r>
      <w:r>
        <w:rPr>
          <w:rFonts w:ascii="Palatino Linotype"/>
          <w:i/>
          <w:w w:val="105"/>
          <w:sz w:val="24"/>
        </w:rPr>
        <w:t>of</w:t>
      </w:r>
      <w:r>
        <w:rPr>
          <w:rFonts w:ascii="Palatino Linotype"/>
          <w:i/>
          <w:spacing w:val="-25"/>
          <w:w w:val="105"/>
          <w:sz w:val="24"/>
        </w:rPr>
        <w:t> </w:t>
      </w:r>
      <w:r>
        <w:rPr>
          <w:rFonts w:ascii="Palatino Linotype"/>
          <w:i/>
          <w:w w:val="105"/>
          <w:sz w:val="24"/>
        </w:rPr>
        <w:t>testing</w:t>
      </w:r>
      <w:r>
        <w:rPr>
          <w:rFonts w:ascii="Palatino Linotype"/>
          <w:i/>
          <w:spacing w:val="-24"/>
          <w:w w:val="105"/>
          <w:sz w:val="24"/>
        </w:rPr>
        <w:t> </w:t>
      </w:r>
      <w:r>
        <w:rPr>
          <w:rFonts w:ascii="Palatino Linotype"/>
          <w:i/>
          <w:w w:val="105"/>
          <w:sz w:val="24"/>
        </w:rPr>
        <w:t>analysis,</w:t>
      </w:r>
      <w:r>
        <w:rPr>
          <w:rFonts w:ascii="Palatino Linotype"/>
          <w:i/>
          <w:spacing w:val="-24"/>
          <w:w w:val="105"/>
          <w:sz w:val="24"/>
        </w:rPr>
        <w:t> </w:t>
      </w:r>
      <w:r>
        <w:rPr>
          <w:rFonts w:ascii="Palatino Linotype"/>
          <w:i/>
          <w:w w:val="105"/>
          <w:sz w:val="24"/>
        </w:rPr>
        <w:t>process</w:t>
      </w:r>
      <w:r>
        <w:rPr>
          <w:rFonts w:ascii="Palatino Linotype"/>
          <w:i/>
          <w:spacing w:val="-25"/>
          <w:w w:val="105"/>
          <w:sz w:val="24"/>
        </w:rPr>
        <w:t> </w:t>
      </w:r>
      <w:r>
        <w:rPr>
          <w:rFonts w:ascii="Palatino Linotype"/>
          <w:i/>
          <w:w w:val="105"/>
          <w:sz w:val="24"/>
        </w:rPr>
        <w:t>of</w:t>
      </w:r>
      <w:r>
        <w:rPr>
          <w:rFonts w:ascii="Palatino Linotype"/>
          <w:i/>
          <w:spacing w:val="-25"/>
          <w:w w:val="105"/>
          <w:sz w:val="24"/>
        </w:rPr>
        <w:t> </w:t>
      </w:r>
      <w:r>
        <w:rPr>
          <w:rFonts w:ascii="Palatino Linotype"/>
          <w:i/>
          <w:w w:val="105"/>
          <w:sz w:val="24"/>
        </w:rPr>
        <w:t>samples</w:t>
      </w:r>
      <w:r>
        <w:rPr>
          <w:rFonts w:ascii="Palatino Linotype"/>
          <w:i/>
          <w:spacing w:val="-24"/>
          <w:w w:val="105"/>
          <w:sz w:val="24"/>
        </w:rPr>
        <w:t> </w:t>
      </w:r>
      <w:r>
        <w:rPr>
          <w:rFonts w:ascii="Palatino Linotype"/>
          <w:i/>
          <w:w w:val="105"/>
          <w:sz w:val="24"/>
        </w:rPr>
        <w:t>and</w:t>
      </w:r>
      <w:r>
        <w:rPr>
          <w:rFonts w:ascii="Palatino Linotype"/>
          <w:i/>
          <w:spacing w:val="-25"/>
          <w:w w:val="105"/>
          <w:sz w:val="24"/>
        </w:rPr>
        <w:t> </w:t>
      </w:r>
      <w:r>
        <w:rPr>
          <w:rFonts w:ascii="Palatino Linotype"/>
          <w:i/>
          <w:w w:val="105"/>
          <w:sz w:val="24"/>
        </w:rPr>
        <w:t>in</w:t>
      </w:r>
      <w:r>
        <w:rPr>
          <w:rFonts w:ascii="Palatino Linotype"/>
          <w:i/>
          <w:spacing w:val="-25"/>
          <w:w w:val="105"/>
          <w:sz w:val="24"/>
        </w:rPr>
        <w:t> </w:t>
      </w:r>
      <w:r>
        <w:rPr>
          <w:rFonts w:ascii="Palatino Linotype"/>
          <w:i/>
          <w:w w:val="105"/>
          <w:sz w:val="24"/>
        </w:rPr>
        <w:t>a</w:t>
      </w:r>
      <w:r>
        <w:rPr>
          <w:rFonts w:ascii="Palatino Linotype"/>
          <w:i/>
          <w:spacing w:val="-24"/>
          <w:w w:val="105"/>
          <w:sz w:val="24"/>
        </w:rPr>
        <w:t> </w:t>
      </w:r>
      <w:r>
        <w:rPr>
          <w:rFonts w:ascii="Palatino Linotype"/>
          <w:i/>
          <w:w w:val="105"/>
          <w:sz w:val="24"/>
        </w:rPr>
        <w:t>separate</w:t>
      </w:r>
      <w:r>
        <w:rPr>
          <w:rFonts w:ascii="Palatino Linotype"/>
          <w:i/>
          <w:spacing w:val="-25"/>
          <w:w w:val="105"/>
          <w:sz w:val="24"/>
        </w:rPr>
        <w:t> </w:t>
      </w:r>
      <w:r>
        <w:rPr>
          <w:rFonts w:ascii="Palatino Linotype"/>
          <w:i/>
          <w:w w:val="105"/>
          <w:sz w:val="24"/>
        </w:rPr>
        <w:t>matter,</w:t>
      </w:r>
      <w:r>
        <w:rPr>
          <w:rFonts w:ascii="Palatino Linotype"/>
          <w:i/>
          <w:spacing w:val="-25"/>
          <w:w w:val="105"/>
          <w:sz w:val="24"/>
        </w:rPr>
        <w:t> </w:t>
      </w:r>
      <w:r>
        <w:rPr>
          <w:rFonts w:ascii="Palatino Linotype"/>
          <w:i/>
          <w:w w:val="105"/>
          <w:sz w:val="24"/>
        </w:rPr>
        <w:t>the deliberate destruction of a large number of samples prior to a WADA onsite audit in December</w:t>
      </w:r>
      <w:r>
        <w:rPr>
          <w:rFonts w:ascii="Palatino Linotype"/>
          <w:i/>
          <w:spacing w:val="-42"/>
          <w:w w:val="105"/>
          <w:sz w:val="24"/>
        </w:rPr>
        <w:t> </w:t>
      </w:r>
      <w:r>
        <w:rPr>
          <w:rFonts w:ascii="Palatino Linotype"/>
          <w:i/>
          <w:w w:val="105"/>
          <w:sz w:val="24"/>
        </w:rPr>
        <w:t>of</w:t>
      </w:r>
      <w:r>
        <w:rPr>
          <w:rFonts w:ascii="Palatino Linotype"/>
          <w:i/>
          <w:spacing w:val="-42"/>
          <w:w w:val="105"/>
          <w:sz w:val="24"/>
        </w:rPr>
        <w:t> </w:t>
      </w:r>
      <w:r>
        <w:rPr>
          <w:rFonts w:ascii="Palatino Linotype"/>
          <w:i/>
          <w:w w:val="105"/>
          <w:sz w:val="24"/>
        </w:rPr>
        <w:t>2014"</w:t>
      </w:r>
      <w:r>
        <w:rPr>
          <w:rFonts w:ascii="Palatino Linotype"/>
          <w:i/>
          <w:spacing w:val="-40"/>
          <w:w w:val="105"/>
          <w:sz w:val="24"/>
        </w:rPr>
        <w:t> </w:t>
      </w:r>
      <w:r>
        <w:rPr>
          <w:w w:val="105"/>
          <w:sz w:val="24"/>
        </w:rPr>
        <w:t>(p.193).</w:t>
      </w:r>
    </w:p>
    <w:p>
      <w:pPr>
        <w:pStyle w:val="BodyText"/>
      </w:pPr>
    </w:p>
    <w:p>
      <w:pPr>
        <w:pStyle w:val="BodyText"/>
        <w:spacing w:before="7"/>
        <w:rPr>
          <w:sz w:val="28"/>
        </w:rPr>
      </w:pPr>
    </w:p>
    <w:p>
      <w:pPr>
        <w:pStyle w:val="BodyText"/>
        <w:spacing w:line="504" w:lineRule="auto"/>
        <w:ind w:left="119" w:right="107"/>
        <w:jc w:val="both"/>
      </w:pPr>
      <w:r>
        <w:rPr>
          <w:w w:val="110"/>
        </w:rPr>
        <w:t>Given the evidence available to the IC at the time, it suggested that it was the laboratory personnel who were at the center of the cover up of positive doping samples and related matters. The IC Report recognized that the MofS had a conflict of interest that affected the independence and objectivity required for the successful operation of the Moscow Laboratory.</w:t>
      </w:r>
    </w:p>
    <w:p>
      <w:pPr>
        <w:spacing w:after="0" w:line="504" w:lineRule="auto"/>
        <w:jc w:val="both"/>
        <w:sectPr>
          <w:footerReference w:type="default" r:id="rId30"/>
          <w:pgSz w:w="12240" w:h="15840"/>
          <w:pgMar w:footer="707" w:header="0" w:top="1440" w:bottom="900" w:left="1700" w:right="1680"/>
        </w:sectPr>
      </w:pPr>
    </w:p>
    <w:p>
      <w:pPr>
        <w:pStyle w:val="BodyText"/>
        <w:spacing w:line="504" w:lineRule="auto" w:before="16"/>
        <w:ind w:left="119" w:right="107"/>
        <w:jc w:val="both"/>
      </w:pPr>
      <w:r>
        <w:rPr>
          <w:w w:val="110"/>
        </w:rPr>
        <w:t>A brief account of Russian State interest and influence over the Moscow Laboratory was also included in the IC Report. It concluded that regular weekly meetings</w:t>
      </w:r>
      <w:r>
        <w:rPr>
          <w:spacing w:val="-5"/>
          <w:w w:val="110"/>
        </w:rPr>
        <w:t> </w:t>
      </w:r>
      <w:r>
        <w:rPr>
          <w:w w:val="110"/>
        </w:rPr>
        <w:t>occurred</w:t>
      </w:r>
      <w:r>
        <w:rPr>
          <w:spacing w:val="-7"/>
          <w:w w:val="110"/>
        </w:rPr>
        <w:t> </w:t>
      </w:r>
      <w:r>
        <w:rPr>
          <w:w w:val="110"/>
        </w:rPr>
        <w:t>between</w:t>
      </w:r>
      <w:r>
        <w:rPr>
          <w:spacing w:val="-7"/>
          <w:w w:val="110"/>
        </w:rPr>
        <w:t> </w:t>
      </w:r>
      <w:r>
        <w:rPr>
          <w:w w:val="110"/>
        </w:rPr>
        <w:t>the</w:t>
      </w:r>
      <w:r>
        <w:rPr>
          <w:spacing w:val="-7"/>
          <w:w w:val="110"/>
        </w:rPr>
        <w:t> </w:t>
      </w:r>
      <w:r>
        <w:rPr>
          <w:w w:val="110"/>
        </w:rPr>
        <w:t>FSB</w:t>
      </w:r>
      <w:r>
        <w:rPr>
          <w:spacing w:val="-7"/>
          <w:w w:val="110"/>
        </w:rPr>
        <w:t> </w:t>
      </w:r>
      <w:r>
        <w:rPr>
          <w:w w:val="110"/>
        </w:rPr>
        <w:t>officer</w:t>
      </w:r>
      <w:r>
        <w:rPr>
          <w:spacing w:val="-7"/>
          <w:w w:val="110"/>
        </w:rPr>
        <w:t> </w:t>
      </w:r>
      <w:r>
        <w:rPr>
          <w:w w:val="110"/>
        </w:rPr>
        <w:t>Evgeny</w:t>
      </w:r>
      <w:r>
        <w:rPr>
          <w:spacing w:val="-7"/>
          <w:w w:val="110"/>
        </w:rPr>
        <w:t> </w:t>
      </w:r>
      <w:r>
        <w:rPr>
          <w:w w:val="110"/>
        </w:rPr>
        <w:t>Blokhin</w:t>
      </w:r>
      <w:r>
        <w:rPr>
          <w:spacing w:val="-5"/>
          <w:w w:val="110"/>
        </w:rPr>
        <w:t> </w:t>
      </w:r>
      <w:r>
        <w:rPr>
          <w:w w:val="110"/>
        </w:rPr>
        <w:t>("FSB</w:t>
      </w:r>
      <w:r>
        <w:rPr>
          <w:spacing w:val="-8"/>
          <w:w w:val="110"/>
        </w:rPr>
        <w:t> </w:t>
      </w:r>
      <w:r>
        <w:rPr>
          <w:w w:val="110"/>
        </w:rPr>
        <w:t>Blokhin")</w:t>
      </w:r>
      <w:r>
        <w:rPr>
          <w:spacing w:val="-7"/>
          <w:w w:val="110"/>
        </w:rPr>
        <w:t> </w:t>
      </w:r>
      <w:r>
        <w:rPr>
          <w:w w:val="110"/>
        </w:rPr>
        <w:t>and Dr. Rodchenkov. The IC did not report on: the State oversight of the Moscow Laboratory in the form of FSB insertion into the laboratory, the Russian Ministry of Sport ("MofS") involvement in the operations of the Moscow Laboratory, nor its relationships with any other State</w:t>
      </w:r>
      <w:r>
        <w:rPr>
          <w:spacing w:val="10"/>
          <w:w w:val="110"/>
        </w:rPr>
        <w:t> </w:t>
      </w:r>
      <w:r>
        <w:rPr>
          <w:w w:val="110"/>
        </w:rPr>
        <w:t>organizations.</w:t>
      </w:r>
    </w:p>
    <w:p>
      <w:pPr>
        <w:pStyle w:val="BodyText"/>
      </w:pPr>
    </w:p>
    <w:p>
      <w:pPr>
        <w:pStyle w:val="BodyText"/>
        <w:spacing w:before="2"/>
        <w:rPr>
          <w:sz w:val="27"/>
        </w:rPr>
      </w:pPr>
    </w:p>
    <w:p>
      <w:pPr>
        <w:pStyle w:val="BodyText"/>
        <w:spacing w:line="465" w:lineRule="auto"/>
        <w:ind w:left="119" w:right="102"/>
        <w:jc w:val="both"/>
      </w:pPr>
      <w:r>
        <w:rPr>
          <w:w w:val="110"/>
        </w:rPr>
        <w:t>The IP investigation has had the ability to assess substantial digital evidence retrieved from various hard drives and other sources, documentary and </w:t>
      </w:r>
      <w:r>
        <w:rPr>
          <w:rFonts w:ascii="Palatino Linotype"/>
          <w:i/>
          <w:w w:val="110"/>
        </w:rPr>
        <w:t>viva voce </w:t>
      </w:r>
      <w:r>
        <w:rPr>
          <w:w w:val="110"/>
        </w:rPr>
        <w:t>evidence that were not available to the IC.       </w:t>
      </w:r>
      <w:r>
        <w:rPr>
          <w:spacing w:val="61"/>
          <w:w w:val="110"/>
        </w:rPr>
        <w:t> </w:t>
      </w:r>
      <w:r>
        <w:rPr>
          <w:w w:val="110"/>
        </w:rPr>
        <w:t>The IP has also had the benefit of</w:t>
      </w:r>
    </w:p>
    <w:p>
      <w:pPr>
        <w:pStyle w:val="BodyText"/>
        <w:spacing w:line="504" w:lineRule="auto" w:before="50"/>
        <w:ind w:left="119" w:right="107"/>
        <w:jc w:val="both"/>
      </w:pPr>
      <w:r>
        <w:rPr>
          <w:w w:val="115"/>
        </w:rPr>
        <w:t>significant analytical examination of stored urine samples. From all of the foregoing</w:t>
      </w:r>
      <w:r>
        <w:rPr>
          <w:spacing w:val="-34"/>
          <w:w w:val="115"/>
        </w:rPr>
        <w:t> </w:t>
      </w:r>
      <w:r>
        <w:rPr>
          <w:w w:val="115"/>
        </w:rPr>
        <w:t>evidentiary</w:t>
      </w:r>
      <w:r>
        <w:rPr>
          <w:spacing w:val="-35"/>
          <w:w w:val="115"/>
        </w:rPr>
        <w:t> </w:t>
      </w:r>
      <w:r>
        <w:rPr>
          <w:w w:val="115"/>
        </w:rPr>
        <w:t>sources,</w:t>
      </w:r>
      <w:r>
        <w:rPr>
          <w:spacing w:val="-34"/>
          <w:w w:val="115"/>
        </w:rPr>
        <w:t> </w:t>
      </w:r>
      <w:r>
        <w:rPr>
          <w:w w:val="115"/>
        </w:rPr>
        <w:t>the</w:t>
      </w:r>
      <w:r>
        <w:rPr>
          <w:spacing w:val="-34"/>
          <w:w w:val="115"/>
        </w:rPr>
        <w:t> </w:t>
      </w:r>
      <w:r>
        <w:rPr>
          <w:w w:val="115"/>
        </w:rPr>
        <w:t>IP</w:t>
      </w:r>
      <w:r>
        <w:rPr>
          <w:spacing w:val="-34"/>
          <w:w w:val="115"/>
        </w:rPr>
        <w:t> </w:t>
      </w:r>
      <w:r>
        <w:rPr>
          <w:w w:val="115"/>
        </w:rPr>
        <w:t>concludes</w:t>
      </w:r>
      <w:r>
        <w:rPr>
          <w:spacing w:val="-34"/>
          <w:w w:val="115"/>
        </w:rPr>
        <w:t> </w:t>
      </w:r>
      <w:r>
        <w:rPr>
          <w:w w:val="115"/>
        </w:rPr>
        <w:t>that</w:t>
      </w:r>
      <w:r>
        <w:rPr>
          <w:spacing w:val="-34"/>
          <w:w w:val="115"/>
        </w:rPr>
        <w:t> </w:t>
      </w:r>
      <w:r>
        <w:rPr>
          <w:w w:val="115"/>
        </w:rPr>
        <w:t>the</w:t>
      </w:r>
      <w:r>
        <w:rPr>
          <w:spacing w:val="-34"/>
          <w:w w:val="115"/>
        </w:rPr>
        <w:t> </w:t>
      </w:r>
      <w:r>
        <w:rPr>
          <w:w w:val="115"/>
        </w:rPr>
        <w:t>Moscow</w:t>
      </w:r>
      <w:r>
        <w:rPr>
          <w:spacing w:val="-32"/>
          <w:w w:val="115"/>
        </w:rPr>
        <w:t> </w:t>
      </w:r>
      <w:r>
        <w:rPr>
          <w:w w:val="115"/>
        </w:rPr>
        <w:t>Laboratory</w:t>
      </w:r>
      <w:r>
        <w:rPr>
          <w:spacing w:val="-34"/>
          <w:w w:val="115"/>
        </w:rPr>
        <w:t> </w:t>
      </w:r>
      <w:r>
        <w:rPr>
          <w:w w:val="115"/>
        </w:rPr>
        <w:t>was not staffed with personnel who behaved in a rogue fashion for their own financial gain. Quite to the contrary, the laboratory personnel were not permitted to act independently of any instructions that were funneled down to them</w:t>
      </w:r>
      <w:r>
        <w:rPr>
          <w:spacing w:val="-50"/>
          <w:w w:val="115"/>
        </w:rPr>
        <w:t> </w:t>
      </w:r>
      <w:r>
        <w:rPr>
          <w:w w:val="115"/>
        </w:rPr>
        <w:t>from</w:t>
      </w:r>
      <w:r>
        <w:rPr>
          <w:spacing w:val="-48"/>
          <w:w w:val="115"/>
        </w:rPr>
        <w:t> </w:t>
      </w:r>
      <w:r>
        <w:rPr>
          <w:w w:val="115"/>
        </w:rPr>
        <w:t>the</w:t>
      </w:r>
      <w:r>
        <w:rPr>
          <w:spacing w:val="-49"/>
          <w:w w:val="115"/>
        </w:rPr>
        <w:t> </w:t>
      </w:r>
      <w:r>
        <w:rPr>
          <w:w w:val="115"/>
        </w:rPr>
        <w:t>MofS.</w:t>
      </w:r>
    </w:p>
    <w:p>
      <w:pPr>
        <w:pStyle w:val="BodyText"/>
      </w:pPr>
    </w:p>
    <w:p>
      <w:pPr>
        <w:pStyle w:val="BodyText"/>
        <w:spacing w:before="2"/>
        <w:rPr>
          <w:sz w:val="27"/>
        </w:rPr>
      </w:pPr>
    </w:p>
    <w:p>
      <w:pPr>
        <w:pStyle w:val="BodyText"/>
        <w:spacing w:line="504" w:lineRule="auto"/>
        <w:ind w:left="119" w:right="107"/>
        <w:jc w:val="both"/>
      </w:pPr>
      <w:r>
        <w:rPr>
          <w:w w:val="110"/>
        </w:rPr>
        <w:t>The Moscow Laboratory was effectively caught up in the jaws of a vice. It was a key player in the successful operation of a State imposed and rigorously controlled program, which was overall managed and dictated by the MofS. The laboratory was the vital cog in a much larger machine that was State run and</w:t>
      </w:r>
    </w:p>
    <w:p>
      <w:pPr>
        <w:spacing w:after="0" w:line="504" w:lineRule="auto"/>
        <w:jc w:val="both"/>
        <w:sectPr>
          <w:pgSz w:w="12240" w:h="15840"/>
          <w:pgMar w:header="0" w:footer="707" w:top="1440" w:bottom="900" w:left="1700" w:right="1680"/>
        </w:sectPr>
      </w:pPr>
    </w:p>
    <w:p>
      <w:pPr>
        <w:pStyle w:val="BodyText"/>
        <w:spacing w:line="504" w:lineRule="auto" w:before="16"/>
        <w:ind w:left="119" w:right="108"/>
        <w:jc w:val="both"/>
      </w:pPr>
      <w:r>
        <w:rPr>
          <w:w w:val="110"/>
        </w:rPr>
        <w:t>developed and whose other primary participants included the MofS, Russian</w:t>
      </w:r>
      <w:r>
        <w:rPr>
          <w:spacing w:val="66"/>
          <w:w w:val="110"/>
        </w:rPr>
        <w:t> </w:t>
      </w:r>
      <w:r>
        <w:rPr>
          <w:w w:val="110"/>
        </w:rPr>
        <w:t>Anti Doping Agency ("RUSADA"), the Center of Sports Preparation of National Teams</w:t>
      </w:r>
      <w:r>
        <w:rPr>
          <w:spacing w:val="-17"/>
          <w:w w:val="110"/>
        </w:rPr>
        <w:t> </w:t>
      </w:r>
      <w:r>
        <w:rPr>
          <w:w w:val="110"/>
        </w:rPr>
        <w:t>of</w:t>
      </w:r>
      <w:r>
        <w:rPr>
          <w:spacing w:val="-18"/>
          <w:w w:val="110"/>
        </w:rPr>
        <w:t> </w:t>
      </w:r>
      <w:r>
        <w:rPr>
          <w:w w:val="110"/>
        </w:rPr>
        <w:t>Russia</w:t>
      </w:r>
      <w:r>
        <w:rPr>
          <w:spacing w:val="-17"/>
          <w:w w:val="110"/>
        </w:rPr>
        <w:t> </w:t>
      </w:r>
      <w:r>
        <w:rPr>
          <w:w w:val="110"/>
        </w:rPr>
        <w:t>("CSP"),</w:t>
      </w:r>
      <w:r>
        <w:rPr>
          <w:spacing w:val="-17"/>
          <w:w w:val="110"/>
        </w:rPr>
        <w:t> </w:t>
      </w:r>
      <w:r>
        <w:rPr>
          <w:w w:val="110"/>
        </w:rPr>
        <w:t>and</w:t>
      </w:r>
      <w:r>
        <w:rPr>
          <w:spacing w:val="-19"/>
          <w:w w:val="110"/>
        </w:rPr>
        <w:t> </w:t>
      </w:r>
      <w:r>
        <w:rPr>
          <w:w w:val="110"/>
        </w:rPr>
        <w:t>the</w:t>
      </w:r>
      <w:r>
        <w:rPr>
          <w:spacing w:val="-18"/>
          <w:w w:val="110"/>
        </w:rPr>
        <w:t> </w:t>
      </w:r>
      <w:r>
        <w:rPr>
          <w:w w:val="110"/>
        </w:rPr>
        <w:t>Federal</w:t>
      </w:r>
      <w:r>
        <w:rPr>
          <w:spacing w:val="-17"/>
          <w:w w:val="110"/>
        </w:rPr>
        <w:t> </w:t>
      </w:r>
      <w:r>
        <w:rPr>
          <w:w w:val="110"/>
        </w:rPr>
        <w:t>Security</w:t>
      </w:r>
      <w:r>
        <w:rPr>
          <w:spacing w:val="-15"/>
          <w:w w:val="110"/>
        </w:rPr>
        <w:t> </w:t>
      </w:r>
      <w:r>
        <w:rPr>
          <w:w w:val="110"/>
        </w:rPr>
        <w:t>Service</w:t>
      </w:r>
      <w:r>
        <w:rPr>
          <w:spacing w:val="-17"/>
          <w:w w:val="110"/>
        </w:rPr>
        <w:t> </w:t>
      </w:r>
      <w:r>
        <w:rPr>
          <w:w w:val="110"/>
        </w:rPr>
        <w:t>("FSB").</w:t>
      </w:r>
      <w:r>
        <w:rPr>
          <w:spacing w:val="14"/>
          <w:w w:val="110"/>
        </w:rPr>
        <w:t> </w:t>
      </w:r>
      <w:r>
        <w:rPr>
          <w:w w:val="110"/>
        </w:rPr>
        <w:t>The</w:t>
      </w:r>
      <w:r>
        <w:rPr>
          <w:spacing w:val="-19"/>
          <w:w w:val="110"/>
        </w:rPr>
        <w:t> </w:t>
      </w:r>
      <w:r>
        <w:rPr>
          <w:w w:val="110"/>
        </w:rPr>
        <w:t>Moscow Laboratory personnel acted as they did because, as the witnesses expressed, if they did not, they would no longer be employed</w:t>
      </w:r>
      <w:r>
        <w:rPr>
          <w:spacing w:val="45"/>
          <w:w w:val="110"/>
        </w:rPr>
        <w:t> </w:t>
      </w:r>
      <w:r>
        <w:rPr>
          <w:w w:val="110"/>
        </w:rPr>
        <w:t>there.</w:t>
      </w:r>
    </w:p>
    <w:p>
      <w:pPr>
        <w:pStyle w:val="BodyText"/>
      </w:pPr>
    </w:p>
    <w:p>
      <w:pPr>
        <w:pStyle w:val="BodyText"/>
        <w:spacing w:before="2"/>
        <w:rPr>
          <w:sz w:val="27"/>
        </w:rPr>
      </w:pPr>
    </w:p>
    <w:p>
      <w:pPr>
        <w:pStyle w:val="BodyText"/>
        <w:spacing w:line="504" w:lineRule="auto"/>
        <w:ind w:left="119" w:right="107"/>
        <w:jc w:val="both"/>
      </w:pPr>
      <w:r>
        <w:rPr>
          <w:w w:val="110"/>
        </w:rPr>
        <w:t>It can be made to appear that the laboratory was acting alone. However, given</w:t>
      </w:r>
      <w:r>
        <w:rPr>
          <w:spacing w:val="66"/>
          <w:w w:val="110"/>
        </w:rPr>
        <w:t> </w:t>
      </w:r>
      <w:r>
        <w:rPr>
          <w:w w:val="110"/>
        </w:rPr>
        <w:t>the examination and the insights obtained from evidence available to the IP investigation, it is correct to place the Moscow Laboratory within the ambit of State control. It was the vital mechanism that enabled athletes to compete while using performance enhancing drugs ("PED"s). It appears that the system was designed so that if its actions were revealed, the Moscow Laboratory could be jettisoned without damaging or revealing other parts of the drug cheating program. In the case of discovery, the jaws of the vice would close and any convenient explanation blaming the Moscow Laboratory would operate to cover up the rest of the State run</w:t>
      </w:r>
      <w:r>
        <w:rPr>
          <w:spacing w:val="-4"/>
          <w:w w:val="110"/>
        </w:rPr>
        <w:t> </w:t>
      </w:r>
      <w:r>
        <w:rPr>
          <w:w w:val="110"/>
        </w:rPr>
        <w:t>system.</w:t>
      </w:r>
    </w:p>
    <w:p>
      <w:pPr>
        <w:pStyle w:val="BodyText"/>
      </w:pPr>
    </w:p>
    <w:p>
      <w:pPr>
        <w:pStyle w:val="BodyText"/>
      </w:pPr>
    </w:p>
    <w:p>
      <w:pPr>
        <w:pStyle w:val="ListParagraph"/>
        <w:numPr>
          <w:ilvl w:val="2"/>
          <w:numId w:val="12"/>
        </w:numPr>
        <w:tabs>
          <w:tab w:pos="659" w:val="left" w:leader="none"/>
        </w:tabs>
        <w:spacing w:line="240" w:lineRule="auto" w:before="210" w:after="0"/>
        <w:ind w:left="658" w:right="0" w:hanging="539"/>
        <w:jc w:val="both"/>
        <w:rPr>
          <w:rFonts w:ascii="Palatino Linotype"/>
          <w:sz w:val="24"/>
        </w:rPr>
      </w:pPr>
      <w:r>
        <w:rPr>
          <w:rFonts w:ascii="Palatino Linotype"/>
          <w:w w:val="105"/>
          <w:sz w:val="24"/>
        </w:rPr>
        <w:t>IP</w:t>
      </w:r>
      <w:r>
        <w:rPr>
          <w:rFonts w:ascii="Palatino Linotype"/>
          <w:spacing w:val="-19"/>
          <w:w w:val="105"/>
          <w:sz w:val="24"/>
        </w:rPr>
        <w:t> </w:t>
      </w:r>
      <w:r>
        <w:rPr>
          <w:rFonts w:ascii="Palatino Linotype"/>
          <w:w w:val="105"/>
          <w:sz w:val="24"/>
        </w:rPr>
        <w:t>Findings</w:t>
      </w:r>
    </w:p>
    <w:p>
      <w:pPr>
        <w:pStyle w:val="BodyText"/>
        <w:rPr>
          <w:rFonts w:ascii="Palatino Linotype"/>
        </w:rPr>
      </w:pPr>
    </w:p>
    <w:p>
      <w:pPr>
        <w:pStyle w:val="BodyText"/>
        <w:spacing w:before="1"/>
        <w:rPr>
          <w:rFonts w:ascii="Palatino Linotype"/>
          <w:sz w:val="29"/>
        </w:rPr>
      </w:pPr>
    </w:p>
    <w:p>
      <w:pPr>
        <w:pStyle w:val="ListParagraph"/>
        <w:numPr>
          <w:ilvl w:val="3"/>
          <w:numId w:val="12"/>
        </w:numPr>
        <w:tabs>
          <w:tab w:pos="840" w:val="left" w:leader="none"/>
        </w:tabs>
        <w:spacing w:line="504" w:lineRule="auto" w:before="1" w:after="0"/>
        <w:ind w:left="839" w:right="107" w:hanging="360"/>
        <w:jc w:val="left"/>
        <w:rPr>
          <w:sz w:val="24"/>
        </w:rPr>
      </w:pPr>
      <w:r>
        <w:rPr>
          <w:w w:val="110"/>
          <w:sz w:val="24"/>
        </w:rPr>
        <w:t>The Moscow Laboratory operated under State directed oversight and control of its anti-doping operational</w:t>
      </w:r>
      <w:r>
        <w:rPr>
          <w:spacing w:val="-5"/>
          <w:w w:val="110"/>
          <w:sz w:val="24"/>
        </w:rPr>
        <w:t> </w:t>
      </w:r>
      <w:r>
        <w:rPr>
          <w:w w:val="110"/>
          <w:sz w:val="24"/>
        </w:rPr>
        <w:t>system.</w:t>
      </w:r>
    </w:p>
    <w:p>
      <w:pPr>
        <w:spacing w:after="0" w:line="504" w:lineRule="auto"/>
        <w:jc w:val="left"/>
        <w:rPr>
          <w:sz w:val="24"/>
        </w:rPr>
        <w:sectPr>
          <w:footerReference w:type="default" r:id="rId31"/>
          <w:pgSz w:w="12240" w:h="15840"/>
          <w:pgMar w:footer="707" w:header="0" w:top="1440" w:bottom="900" w:left="1700" w:right="1680"/>
        </w:sectPr>
      </w:pPr>
    </w:p>
    <w:p>
      <w:pPr>
        <w:pStyle w:val="ListParagraph"/>
        <w:numPr>
          <w:ilvl w:val="3"/>
          <w:numId w:val="12"/>
        </w:numPr>
        <w:tabs>
          <w:tab w:pos="840" w:val="left" w:leader="none"/>
        </w:tabs>
        <w:spacing w:line="504" w:lineRule="auto" w:before="16" w:after="0"/>
        <w:ind w:left="839" w:right="110" w:hanging="360"/>
        <w:jc w:val="both"/>
        <w:rPr>
          <w:sz w:val="24"/>
        </w:rPr>
      </w:pPr>
      <w:r>
        <w:rPr>
          <w:w w:val="110"/>
          <w:sz w:val="24"/>
        </w:rPr>
        <w:t>The Moscow Laboratory personnel were required to be part of the State directed system that enabled Russian athletes to compete while engaged </w:t>
      </w:r>
      <w:r>
        <w:rPr>
          <w:spacing w:val="66"/>
          <w:w w:val="110"/>
          <w:sz w:val="24"/>
        </w:rPr>
        <w:t> </w:t>
      </w:r>
      <w:r>
        <w:rPr>
          <w:w w:val="110"/>
          <w:sz w:val="24"/>
        </w:rPr>
        <w:t>in the use of doping</w:t>
      </w:r>
      <w:r>
        <w:rPr>
          <w:spacing w:val="5"/>
          <w:w w:val="110"/>
          <w:sz w:val="24"/>
        </w:rPr>
        <w:t> </w:t>
      </w:r>
      <w:r>
        <w:rPr>
          <w:w w:val="110"/>
          <w:sz w:val="24"/>
        </w:rPr>
        <w:t>substances.</w:t>
      </w:r>
    </w:p>
    <w:p>
      <w:pPr>
        <w:pStyle w:val="BodyText"/>
      </w:pPr>
    </w:p>
    <w:p>
      <w:pPr>
        <w:pStyle w:val="BodyText"/>
        <w:spacing w:before="2"/>
        <w:rPr>
          <w:sz w:val="27"/>
        </w:rPr>
      </w:pPr>
    </w:p>
    <w:p>
      <w:pPr>
        <w:pStyle w:val="ListParagraph"/>
        <w:numPr>
          <w:ilvl w:val="3"/>
          <w:numId w:val="12"/>
        </w:numPr>
        <w:tabs>
          <w:tab w:pos="841" w:val="left" w:leader="none"/>
        </w:tabs>
        <w:spacing w:line="504" w:lineRule="auto" w:before="0" w:after="0"/>
        <w:ind w:left="839" w:right="108" w:hanging="360"/>
        <w:jc w:val="both"/>
        <w:rPr>
          <w:sz w:val="24"/>
        </w:rPr>
      </w:pPr>
      <w:r>
        <w:rPr>
          <w:w w:val="110"/>
          <w:sz w:val="24"/>
        </w:rPr>
        <w:t>The Moscow Laboratory personnel did not have a choice in whether to be involved in the State directed</w:t>
      </w:r>
      <w:r>
        <w:rPr>
          <w:spacing w:val="-11"/>
          <w:w w:val="110"/>
          <w:sz w:val="24"/>
        </w:rPr>
        <w:t> </w:t>
      </w:r>
      <w:r>
        <w:rPr>
          <w:w w:val="110"/>
          <w:sz w:val="24"/>
        </w:rPr>
        <w:t>system.</w:t>
      </w:r>
    </w:p>
    <w:p>
      <w:pPr>
        <w:pStyle w:val="BodyText"/>
      </w:pPr>
    </w:p>
    <w:p>
      <w:pPr>
        <w:pStyle w:val="BodyText"/>
      </w:pPr>
    </w:p>
    <w:p>
      <w:pPr>
        <w:pStyle w:val="ListParagraph"/>
        <w:numPr>
          <w:ilvl w:val="1"/>
          <w:numId w:val="13"/>
        </w:numPr>
        <w:tabs>
          <w:tab w:pos="479" w:val="left" w:leader="none"/>
        </w:tabs>
        <w:spacing w:line="240" w:lineRule="auto" w:before="205" w:after="0"/>
        <w:ind w:left="478" w:right="0" w:hanging="359"/>
        <w:jc w:val="both"/>
        <w:rPr>
          <w:rFonts w:ascii="Palatino Linotype"/>
          <w:sz w:val="24"/>
        </w:rPr>
      </w:pPr>
      <w:r>
        <w:rPr>
          <w:rFonts w:ascii="Palatino Linotype"/>
          <w:w w:val="105"/>
          <w:sz w:val="24"/>
        </w:rPr>
        <w:t>The</w:t>
      </w:r>
      <w:r>
        <w:rPr>
          <w:rFonts w:ascii="Palatino Linotype"/>
          <w:spacing w:val="-30"/>
          <w:w w:val="105"/>
          <w:sz w:val="24"/>
        </w:rPr>
        <w:t> </w:t>
      </w:r>
      <w:r>
        <w:rPr>
          <w:rFonts w:ascii="Palatino Linotype"/>
          <w:w w:val="105"/>
          <w:sz w:val="24"/>
        </w:rPr>
        <w:t>Disappearing</w:t>
      </w:r>
      <w:r>
        <w:rPr>
          <w:rFonts w:ascii="Palatino Linotype"/>
          <w:spacing w:val="-30"/>
          <w:w w:val="105"/>
          <w:sz w:val="24"/>
        </w:rPr>
        <w:t> </w:t>
      </w:r>
      <w:r>
        <w:rPr>
          <w:rFonts w:ascii="Palatino Linotype"/>
          <w:w w:val="105"/>
          <w:sz w:val="24"/>
        </w:rPr>
        <w:t>Positive</w:t>
      </w:r>
      <w:r>
        <w:rPr>
          <w:rFonts w:ascii="Palatino Linotype"/>
          <w:spacing w:val="-30"/>
          <w:w w:val="105"/>
          <w:sz w:val="24"/>
        </w:rPr>
        <w:t> </w:t>
      </w:r>
      <w:r>
        <w:rPr>
          <w:rFonts w:ascii="Palatino Linotype"/>
          <w:w w:val="105"/>
          <w:sz w:val="24"/>
        </w:rPr>
        <w:t>Methodology</w:t>
      </w:r>
    </w:p>
    <w:p>
      <w:pPr>
        <w:pStyle w:val="BodyText"/>
        <w:rPr>
          <w:rFonts w:ascii="Palatino Linotype"/>
        </w:rPr>
      </w:pPr>
    </w:p>
    <w:p>
      <w:pPr>
        <w:pStyle w:val="BodyText"/>
        <w:spacing w:before="6"/>
        <w:rPr>
          <w:rFonts w:ascii="Palatino Linotype"/>
          <w:sz w:val="18"/>
        </w:rPr>
      </w:pPr>
    </w:p>
    <w:p>
      <w:pPr>
        <w:pStyle w:val="BodyText"/>
        <w:spacing w:line="504" w:lineRule="auto"/>
        <w:ind w:left="119" w:right="108"/>
        <w:jc w:val="both"/>
      </w:pPr>
      <w:r>
        <w:rPr>
          <w:w w:val="110"/>
        </w:rPr>
        <w:t>The Disappearing Positive Methodology, as described below, was the failsafe, final fall back system developed by the MofS in combination with the Moscow Laboratory. This methodology ensured that if any doped, elite performing</w:t>
      </w:r>
      <w:r>
        <w:rPr>
          <w:spacing w:val="66"/>
          <w:w w:val="110"/>
        </w:rPr>
        <w:t> </w:t>
      </w:r>
      <w:r>
        <w:rPr>
          <w:w w:val="110"/>
        </w:rPr>
        <w:t>athlete was not protected by the various operational mechanisms in place during the sample collection and transport process (discussed in the IC Report), their doping would be covered up at the Laboratory stage. They would be protected</w:t>
      </w:r>
      <w:r>
        <w:rPr>
          <w:spacing w:val="66"/>
          <w:w w:val="110"/>
        </w:rPr>
        <w:t> </w:t>
      </w:r>
      <w:r>
        <w:rPr>
          <w:w w:val="110"/>
        </w:rPr>
        <w:t>by the Laboratory's analytical work using the Disappearing Positive Methodology. Dr. Rodchenkov and the witnesses described the system to the IP in witness interviews. The IP investigative team has reviewed and date-validated hundreds of email communications; digital media communications, along with forensic analytical findings and experiments and can demonstrate the existence</w:t>
      </w:r>
      <w:r>
        <w:rPr>
          <w:spacing w:val="66"/>
          <w:w w:val="110"/>
        </w:rPr>
        <w:t> </w:t>
      </w:r>
      <w:r>
        <w:rPr>
          <w:w w:val="110"/>
        </w:rPr>
        <w:t>of this system beyond a reasonable</w:t>
      </w:r>
      <w:r>
        <w:rPr>
          <w:spacing w:val="3"/>
          <w:w w:val="110"/>
        </w:rPr>
        <w:t> </w:t>
      </w:r>
      <w:r>
        <w:rPr>
          <w:w w:val="110"/>
        </w:rPr>
        <w:t>doubt.</w:t>
      </w:r>
    </w:p>
    <w:p>
      <w:pPr>
        <w:spacing w:after="0" w:line="504" w:lineRule="auto"/>
        <w:jc w:val="both"/>
        <w:sectPr>
          <w:pgSz w:w="12240" w:h="15840"/>
          <w:pgMar w:header="0" w:footer="707" w:top="1440" w:bottom="900" w:left="1700" w:right="1680"/>
        </w:sectPr>
      </w:pPr>
    </w:p>
    <w:p>
      <w:pPr>
        <w:pStyle w:val="ListParagraph"/>
        <w:numPr>
          <w:ilvl w:val="2"/>
          <w:numId w:val="13"/>
        </w:numPr>
        <w:tabs>
          <w:tab w:pos="659" w:val="left" w:leader="none"/>
        </w:tabs>
        <w:spacing w:line="240" w:lineRule="auto" w:before="20" w:after="0"/>
        <w:ind w:left="658" w:right="0" w:hanging="539"/>
        <w:jc w:val="both"/>
        <w:rPr>
          <w:rFonts w:ascii="Georgia"/>
          <w:sz w:val="24"/>
        </w:rPr>
      </w:pPr>
      <w:r>
        <w:rPr>
          <w:rFonts w:ascii="Georgia"/>
          <w:w w:val="105"/>
          <w:sz w:val="24"/>
        </w:rPr>
        <w:t>The Steps in the Disappearing Positive</w:t>
      </w:r>
      <w:r>
        <w:rPr>
          <w:rFonts w:ascii="Georgia"/>
          <w:spacing w:val="-34"/>
          <w:w w:val="105"/>
          <w:sz w:val="24"/>
        </w:rPr>
        <w:t> </w:t>
      </w:r>
      <w:r>
        <w:rPr>
          <w:rFonts w:ascii="Georgia"/>
          <w:w w:val="105"/>
          <w:sz w:val="24"/>
        </w:rPr>
        <w:t>Methodology</w:t>
      </w:r>
    </w:p>
    <w:p>
      <w:pPr>
        <w:pStyle w:val="BodyText"/>
        <w:rPr>
          <w:rFonts w:ascii="Georgia"/>
        </w:rPr>
      </w:pPr>
    </w:p>
    <w:p>
      <w:pPr>
        <w:pStyle w:val="BodyText"/>
        <w:rPr>
          <w:rFonts w:ascii="Georgia"/>
        </w:rPr>
      </w:pPr>
    </w:p>
    <w:p>
      <w:pPr>
        <w:pStyle w:val="BodyText"/>
        <w:rPr>
          <w:rFonts w:ascii="Georgia"/>
          <w:sz w:val="27"/>
        </w:rPr>
      </w:pPr>
    </w:p>
    <w:p>
      <w:pPr>
        <w:pStyle w:val="BodyText"/>
        <w:spacing w:line="429" w:lineRule="auto"/>
        <w:ind w:left="119" w:right="108"/>
        <w:jc w:val="both"/>
        <w:rPr>
          <w:rFonts w:ascii="Palatino Linotype"/>
        </w:rPr>
      </w:pPr>
      <w:r>
        <w:rPr>
          <w:rFonts w:ascii="Palatino Linotype"/>
        </w:rPr>
        <w:t>When a Russian athlete's sample was analyzed by the Moscow Laboratory the following occurred.</w:t>
      </w:r>
    </w:p>
    <w:p>
      <w:pPr>
        <w:pStyle w:val="BodyText"/>
        <w:rPr>
          <w:rFonts w:ascii="Palatino Linotype"/>
        </w:rPr>
      </w:pPr>
    </w:p>
    <w:p>
      <w:pPr>
        <w:pStyle w:val="BodyText"/>
        <w:spacing w:before="10"/>
        <w:rPr>
          <w:rFonts w:ascii="Palatino Linotype"/>
          <w:sz w:val="18"/>
        </w:rPr>
      </w:pPr>
    </w:p>
    <w:p>
      <w:pPr>
        <w:pStyle w:val="BodyText"/>
        <w:spacing w:line="429" w:lineRule="auto"/>
        <w:ind w:left="119" w:right="108"/>
        <w:jc w:val="both"/>
        <w:rPr>
          <w:rFonts w:ascii="Palatino Linotype"/>
        </w:rPr>
      </w:pPr>
      <w:r>
        <w:rPr>
          <w:rFonts w:ascii="Palatino Linotype"/>
        </w:rPr>
        <w:t>An initial analytical screen would be conducted. If the first analytical screen revealed a likely Adverse Analytical Finding ("AAF") on the athlete's A sample, the bench work in the laboratory was halted. The sample bottle number, the date of collection, the sex of the athlete, the sport discipline and event were recorded (the "Athlete Profile").</w:t>
      </w:r>
    </w:p>
    <w:p>
      <w:pPr>
        <w:pStyle w:val="BodyText"/>
        <w:rPr>
          <w:rFonts w:ascii="Palatino Linotype"/>
        </w:rPr>
      </w:pPr>
    </w:p>
    <w:p>
      <w:pPr>
        <w:pStyle w:val="BodyText"/>
        <w:spacing w:before="10"/>
        <w:rPr>
          <w:rFonts w:ascii="Palatino Linotype"/>
          <w:sz w:val="18"/>
        </w:rPr>
      </w:pPr>
    </w:p>
    <w:p>
      <w:pPr>
        <w:pStyle w:val="BodyText"/>
        <w:spacing w:line="429" w:lineRule="auto"/>
        <w:ind w:left="119" w:right="105" w:firstLine="58"/>
        <w:jc w:val="both"/>
        <w:rPr>
          <w:rFonts w:ascii="Palatino Linotype"/>
        </w:rPr>
      </w:pPr>
      <w:r>
        <w:rPr>
          <w:rFonts w:ascii="Palatino Linotype"/>
        </w:rPr>
        <w:t>The initial Athlete Profile was communicated to a Liaison person. The communication by laboratory personnel to the Liaison Person is by email, telephone, orally in person or by other  digital media communication methods. At this point the laboratory does not know the identity of the athlete that it reported to the Liaison</w:t>
      </w:r>
      <w:r>
        <w:rPr>
          <w:rFonts w:ascii="Palatino Linotype"/>
          <w:spacing w:val="-11"/>
        </w:rPr>
        <w:t> </w:t>
      </w:r>
      <w:r>
        <w:rPr>
          <w:rFonts w:ascii="Palatino Linotype"/>
        </w:rPr>
        <w:t>person.</w:t>
      </w:r>
    </w:p>
    <w:p>
      <w:pPr>
        <w:pStyle w:val="BodyText"/>
        <w:rPr>
          <w:rFonts w:ascii="Palatino Linotype"/>
        </w:rPr>
      </w:pPr>
    </w:p>
    <w:p>
      <w:pPr>
        <w:pStyle w:val="BodyText"/>
        <w:spacing w:before="10"/>
        <w:rPr>
          <w:rFonts w:ascii="Palatino Linotype"/>
          <w:sz w:val="18"/>
        </w:rPr>
      </w:pPr>
    </w:p>
    <w:p>
      <w:pPr>
        <w:pStyle w:val="BodyText"/>
        <w:spacing w:line="429" w:lineRule="auto"/>
        <w:ind w:left="119" w:right="109"/>
        <w:jc w:val="both"/>
        <w:rPr>
          <w:rFonts w:ascii="Palatino Linotype"/>
        </w:rPr>
      </w:pPr>
      <w:r>
        <w:rPr>
          <w:rFonts w:ascii="Palatino Linotype"/>
        </w:rPr>
        <w:t>The IP investigation identified 3 participants who have acted as a Liaison person in this scheme as early as 2012. Natalia Zhelanova, the current advisor  to Russian Minister of Sport Vitaly Mutko ("Minister Mutko") on all matters related to  anti-doping,  was  the  Liaison  person  from  approximately  2012-2013    </w:t>
      </w:r>
      <w:r>
        <w:rPr>
          <w:rFonts w:ascii="Palatino Linotype"/>
          <w:spacing w:val="28"/>
        </w:rPr>
        <w:t> </w:t>
      </w:r>
      <w:r>
        <w:rPr>
          <w:rFonts w:ascii="Palatino Linotype"/>
        </w:rPr>
        <w:t>and</w:t>
      </w:r>
    </w:p>
    <w:p>
      <w:pPr>
        <w:spacing w:after="0" w:line="429" w:lineRule="auto"/>
        <w:jc w:val="both"/>
        <w:rPr>
          <w:rFonts w:ascii="Palatino Linotype"/>
        </w:rPr>
        <w:sectPr>
          <w:pgSz w:w="12240" w:h="15840"/>
          <w:pgMar w:header="0" w:footer="707" w:top="1440" w:bottom="900" w:left="1700" w:right="1680"/>
        </w:sectPr>
      </w:pPr>
    </w:p>
    <w:p>
      <w:pPr>
        <w:pStyle w:val="BodyText"/>
        <w:spacing w:line="429" w:lineRule="auto"/>
        <w:ind w:left="119" w:right="107"/>
        <w:jc w:val="both"/>
        <w:rPr>
          <w:rFonts w:ascii="Palatino Linotype"/>
        </w:rPr>
      </w:pPr>
      <w:r>
        <w:rPr>
          <w:rFonts w:ascii="Palatino Linotype"/>
        </w:rPr>
        <w:t>Alexey Velikodniy</w:t>
      </w:r>
      <w:r>
        <w:rPr>
          <w:rFonts w:ascii="Palatino Linotype"/>
          <w:position w:val="6"/>
          <w:sz w:val="16"/>
        </w:rPr>
        <w:t>3</w:t>
      </w:r>
      <w:r>
        <w:rPr>
          <w:rFonts w:ascii="Palatino Linotype"/>
        </w:rPr>
        <w:t>, employed by the CSP from 2013 through to 2015 until the loss of accreditation of the Moscow Laboratory. For a brief period in late 2013 a third Liaison person, Dr. Avak Abalyan, currently the Deputy Director of the Department of Education and Science fulfilled this role.</w:t>
      </w:r>
    </w:p>
    <w:p>
      <w:pPr>
        <w:pStyle w:val="BodyText"/>
        <w:rPr>
          <w:rFonts w:ascii="Palatino Linotype"/>
        </w:rPr>
      </w:pPr>
    </w:p>
    <w:p>
      <w:pPr>
        <w:pStyle w:val="BodyText"/>
        <w:spacing w:before="10"/>
        <w:rPr>
          <w:rFonts w:ascii="Palatino Linotype"/>
          <w:sz w:val="18"/>
        </w:rPr>
      </w:pPr>
    </w:p>
    <w:p>
      <w:pPr>
        <w:pStyle w:val="BodyText"/>
        <w:spacing w:line="429" w:lineRule="auto"/>
        <w:ind w:left="119" w:right="106"/>
        <w:jc w:val="both"/>
        <w:rPr>
          <w:rFonts w:ascii="Palatino Linotype"/>
        </w:rPr>
      </w:pPr>
      <w:r>
        <w:rPr>
          <w:rFonts w:ascii="Palatino Linotype"/>
        </w:rPr>
        <w:t>The IP investigative staff has analysed and confirmed that communication from these individuals originated from private email accounts. The IP is aware of at least 2 occasions where Zhelanova used her official MofS @minsport.gov.ru email account to communicate information related to a urine sample to and from the</w:t>
      </w:r>
      <w:r>
        <w:rPr>
          <w:rFonts w:ascii="Palatino Linotype"/>
          <w:spacing w:val="-9"/>
        </w:rPr>
        <w:t> </w:t>
      </w:r>
      <w:r>
        <w:rPr>
          <w:rFonts w:ascii="Palatino Linotype"/>
        </w:rPr>
        <w:t>Laboratory.</w:t>
      </w:r>
    </w:p>
    <w:p>
      <w:pPr>
        <w:pStyle w:val="BodyText"/>
        <w:rPr>
          <w:rFonts w:ascii="Palatino Linotype"/>
        </w:rPr>
      </w:pPr>
    </w:p>
    <w:p>
      <w:pPr>
        <w:pStyle w:val="BodyText"/>
        <w:spacing w:before="10"/>
        <w:rPr>
          <w:rFonts w:ascii="Palatino Linotype"/>
          <w:sz w:val="18"/>
        </w:rPr>
      </w:pPr>
    </w:p>
    <w:p>
      <w:pPr>
        <w:pStyle w:val="BodyText"/>
        <w:spacing w:line="429" w:lineRule="auto"/>
        <w:ind w:left="119" w:right="104"/>
        <w:jc w:val="both"/>
        <w:rPr>
          <w:rFonts w:ascii="Palatino Linotype"/>
        </w:rPr>
      </w:pPr>
      <w:r>
        <w:rPr>
          <w:rFonts w:ascii="Palatino Linotype"/>
        </w:rPr>
        <w:t>According to Dr. Rodchenkov, the Liaison process was endorsed by the Russian Deputy Minister of Sport Yury Nagornykh ("Deputy Minister Nagornykh") after he took office. The Deputy Minister gave instructions to Dr. Rodchenkov to convey all positive screen results to Zhelanova and she would then report to Deputy Minister Nagornykh.</w:t>
      </w:r>
    </w:p>
    <w:p>
      <w:pPr>
        <w:pStyle w:val="BodyText"/>
        <w:rPr>
          <w:rFonts w:ascii="Palatino Linotype"/>
        </w:rPr>
      </w:pPr>
    </w:p>
    <w:p>
      <w:pPr>
        <w:pStyle w:val="BodyText"/>
        <w:spacing w:before="10"/>
        <w:rPr>
          <w:rFonts w:ascii="Palatino Linotype"/>
          <w:sz w:val="18"/>
        </w:rPr>
      </w:pPr>
    </w:p>
    <w:p>
      <w:pPr>
        <w:pStyle w:val="BodyText"/>
        <w:spacing w:line="429" w:lineRule="auto"/>
        <w:ind w:left="119" w:right="108"/>
        <w:jc w:val="both"/>
        <w:rPr>
          <w:rFonts w:ascii="Palatino Linotype"/>
        </w:rPr>
      </w:pPr>
      <w:r>
        <w:rPr>
          <w:rFonts w:ascii="Palatino Linotype"/>
        </w:rPr>
        <w:t>Once the Liaison person received the Athlete Profile, he or she proceeded to obtain the identity of the athlete through contacting RUSADA and by providing the bottle number of the identified urine sample.  RUSADA obtained the identity</w:t>
      </w:r>
    </w:p>
    <w:p>
      <w:pPr>
        <w:pStyle w:val="BodyText"/>
        <w:rPr>
          <w:rFonts w:ascii="Palatino Linotype"/>
          <w:sz w:val="20"/>
        </w:rPr>
      </w:pPr>
    </w:p>
    <w:p>
      <w:pPr>
        <w:pStyle w:val="BodyText"/>
        <w:spacing w:before="12"/>
        <w:rPr>
          <w:rFonts w:ascii="Palatino Linotype"/>
          <w:sz w:val="19"/>
        </w:rPr>
      </w:pPr>
      <w:r>
        <w:rPr/>
        <w:pict>
          <v:line style="position:absolute;mso-position-horizontal-relative:page;mso-position-vertical-relative:paragraph;z-index:1312;mso-wrap-distance-left:0;mso-wrap-distance-right:0" from="90.839996pt,15.667323pt" to="234.959996pt,15.667323pt" stroked="true" strokeweight=".600010pt" strokecolor="#000000">
            <w10:wrap type="topAndBottom"/>
          </v:line>
        </w:pict>
      </w:r>
    </w:p>
    <w:p>
      <w:pPr>
        <w:spacing w:line="228" w:lineRule="auto" w:before="64"/>
        <w:ind w:left="119" w:right="0" w:firstLine="0"/>
        <w:jc w:val="left"/>
        <w:rPr>
          <w:rFonts w:ascii="Palatino Linotype"/>
          <w:sz w:val="19"/>
        </w:rPr>
      </w:pPr>
      <w:r>
        <w:rPr>
          <w:rFonts w:ascii="Palatino Linotype"/>
          <w:w w:val="105"/>
          <w:position w:val="5"/>
          <w:sz w:val="13"/>
        </w:rPr>
        <w:t>3 </w:t>
      </w:r>
      <w:r>
        <w:rPr>
          <w:rFonts w:ascii="Palatino Linotype"/>
          <w:w w:val="105"/>
          <w:sz w:val="19"/>
        </w:rPr>
        <w:t>The CSP is based in a separate building to the Ministry of Sport. Nevertheless, according to Rodchenkov Velikodniy had his office three doors away from the office of Deputy Minister Nagornykh.</w:t>
      </w:r>
    </w:p>
    <w:p>
      <w:pPr>
        <w:spacing w:after="0" w:line="228" w:lineRule="auto"/>
        <w:jc w:val="left"/>
        <w:rPr>
          <w:rFonts w:ascii="Palatino Linotype"/>
          <w:sz w:val="19"/>
        </w:rPr>
        <w:sectPr>
          <w:pgSz w:w="12240" w:h="15840"/>
          <w:pgMar w:header="0" w:footer="707" w:top="1440" w:bottom="900" w:left="1700" w:right="1680"/>
        </w:sectPr>
      </w:pPr>
    </w:p>
    <w:p>
      <w:pPr>
        <w:pStyle w:val="BodyText"/>
        <w:spacing w:line="429" w:lineRule="auto"/>
        <w:ind w:left="119" w:right="110"/>
        <w:jc w:val="both"/>
        <w:rPr>
          <w:rFonts w:ascii="Palatino Linotype"/>
        </w:rPr>
      </w:pPr>
      <w:r>
        <w:rPr>
          <w:rFonts w:ascii="Palatino Linotype"/>
        </w:rPr>
        <w:t>of the athlete through the athlete's DCF and communicated the information  to the Liaison person.</w:t>
      </w:r>
    </w:p>
    <w:p>
      <w:pPr>
        <w:pStyle w:val="BodyText"/>
        <w:rPr>
          <w:rFonts w:ascii="Palatino Linotype"/>
        </w:rPr>
      </w:pPr>
    </w:p>
    <w:p>
      <w:pPr>
        <w:pStyle w:val="BodyText"/>
        <w:spacing w:before="10"/>
        <w:rPr>
          <w:rFonts w:ascii="Palatino Linotype"/>
          <w:sz w:val="18"/>
        </w:rPr>
      </w:pPr>
    </w:p>
    <w:p>
      <w:pPr>
        <w:pStyle w:val="BodyText"/>
        <w:spacing w:line="429" w:lineRule="auto"/>
        <w:ind w:left="119" w:right="108"/>
        <w:jc w:val="both"/>
        <w:rPr>
          <w:rFonts w:ascii="Palatino Linotype"/>
          <w:sz w:val="16"/>
        </w:rPr>
      </w:pPr>
      <w:r>
        <w:rPr>
          <w:rFonts w:ascii="Palatino Linotype"/>
        </w:rPr>
        <w:t>The Liaison person then transmitted the full Athlete Profile to Deputy Minister Nagornykh. After making inquiries to the sports authorities and coaches regarding the specific athlete, Deputy Minister Nagornykh would issue an order for that sample. His order was either one of 2 code words: SAVE or QUARANTINE.</w:t>
      </w:r>
      <w:r>
        <w:rPr>
          <w:rFonts w:ascii="Palatino Linotype"/>
          <w:position w:val="6"/>
          <w:sz w:val="16"/>
        </w:rPr>
        <w:t>4</w:t>
      </w:r>
    </w:p>
    <w:p>
      <w:pPr>
        <w:pStyle w:val="BodyText"/>
        <w:rPr>
          <w:rFonts w:ascii="Palatino Linotype"/>
        </w:rPr>
      </w:pPr>
    </w:p>
    <w:p>
      <w:pPr>
        <w:pStyle w:val="BodyText"/>
        <w:spacing w:before="10"/>
        <w:rPr>
          <w:rFonts w:ascii="Palatino Linotype"/>
          <w:sz w:val="18"/>
        </w:rPr>
      </w:pPr>
    </w:p>
    <w:p>
      <w:pPr>
        <w:pStyle w:val="BodyText"/>
        <w:spacing w:line="429" w:lineRule="auto"/>
        <w:ind w:left="119" w:right="109"/>
        <w:jc w:val="both"/>
        <w:rPr>
          <w:rFonts w:ascii="Palatino Linotype"/>
        </w:rPr>
      </w:pPr>
      <w:r>
        <w:rPr>
          <w:rFonts w:ascii="Palatino Linotype"/>
        </w:rPr>
        <w:t>The SAVE or QUARANTINE order attached to the full Athlete Profile, which now included the athlete's identity, was funneled back to the  Moscow Laboratory through the Liaison Person.</w:t>
      </w:r>
    </w:p>
    <w:p>
      <w:pPr>
        <w:pStyle w:val="BodyText"/>
        <w:rPr>
          <w:rFonts w:ascii="Palatino Linotype"/>
        </w:rPr>
      </w:pPr>
    </w:p>
    <w:p>
      <w:pPr>
        <w:pStyle w:val="BodyText"/>
        <w:spacing w:before="10"/>
        <w:rPr>
          <w:rFonts w:ascii="Palatino Linotype"/>
          <w:sz w:val="18"/>
        </w:rPr>
      </w:pPr>
    </w:p>
    <w:p>
      <w:pPr>
        <w:pStyle w:val="BodyText"/>
        <w:spacing w:line="429" w:lineRule="auto"/>
        <w:ind w:left="119" w:right="105"/>
        <w:jc w:val="both"/>
        <w:rPr>
          <w:rFonts w:ascii="Palatino Linotype"/>
        </w:rPr>
      </w:pPr>
      <w:r>
        <w:rPr/>
        <w:drawing>
          <wp:anchor distT="0" distB="0" distL="0" distR="0" allowOverlap="1" layoutInCell="1" locked="0" behindDoc="1" simplePos="0" relativeHeight="268363751">
            <wp:simplePos x="0" y="0"/>
            <wp:positionH relativeFrom="page">
              <wp:posOffset>2482595</wp:posOffset>
            </wp:positionH>
            <wp:positionV relativeFrom="paragraph">
              <wp:posOffset>2918430</wp:posOffset>
            </wp:positionV>
            <wp:extent cx="544068" cy="85343"/>
            <wp:effectExtent l="0" t="0" r="0" b="0"/>
            <wp:wrapNone/>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33" cstate="print"/>
                    <a:stretch>
                      <a:fillRect/>
                    </a:stretch>
                  </pic:blipFill>
                  <pic:spPr>
                    <a:xfrm>
                      <a:off x="0" y="0"/>
                      <a:ext cx="544068" cy="85343"/>
                    </a:xfrm>
                    <a:prstGeom prst="rect">
                      <a:avLst/>
                    </a:prstGeom>
                  </pic:spPr>
                </pic:pic>
              </a:graphicData>
            </a:graphic>
          </wp:anchor>
        </w:drawing>
      </w:r>
      <w:r>
        <w:rPr/>
        <w:drawing>
          <wp:anchor distT="0" distB="0" distL="0" distR="0" allowOverlap="1" layoutInCell="1" locked="0" behindDoc="1" simplePos="0" relativeHeight="268363775">
            <wp:simplePos x="0" y="0"/>
            <wp:positionH relativeFrom="page">
              <wp:posOffset>4032503</wp:posOffset>
            </wp:positionH>
            <wp:positionV relativeFrom="paragraph">
              <wp:posOffset>2918430</wp:posOffset>
            </wp:positionV>
            <wp:extent cx="490728" cy="85343"/>
            <wp:effectExtent l="0" t="0" r="0" b="0"/>
            <wp:wrapNone/>
            <wp:docPr id="23" name="image12.png" descr=""/>
            <wp:cNvGraphicFramePr>
              <a:graphicFrameLocks noChangeAspect="1"/>
            </wp:cNvGraphicFramePr>
            <a:graphic>
              <a:graphicData uri="http://schemas.openxmlformats.org/drawingml/2006/picture">
                <pic:pic>
                  <pic:nvPicPr>
                    <pic:cNvPr id="24" name="image12.png"/>
                    <pic:cNvPicPr/>
                  </pic:nvPicPr>
                  <pic:blipFill>
                    <a:blip r:embed="rId34" cstate="print"/>
                    <a:stretch>
                      <a:fillRect/>
                    </a:stretch>
                  </pic:blipFill>
                  <pic:spPr>
                    <a:xfrm>
                      <a:off x="0" y="0"/>
                      <a:ext cx="490728" cy="85343"/>
                    </a:xfrm>
                    <a:prstGeom prst="rect">
                      <a:avLst/>
                    </a:prstGeom>
                  </pic:spPr>
                </pic:pic>
              </a:graphicData>
            </a:graphic>
          </wp:anchor>
        </w:drawing>
      </w:r>
      <w:r>
        <w:rPr>
          <w:rFonts w:ascii="Palatino Linotype"/>
        </w:rPr>
        <w:t>The Laboratory would then process the sample depending on the order given. If the order was SAVE, the Laboratory took no further steps in the analytical bench work process of that sample. The sample was subsequently reported as negative in ADAMS. The Laboratory personnel would manipulate the Laboratory's non- auditable version of their Laboratory Information Management System (LIMS) so that it reflected a negative analysis. After the manipulation of the system, anyone reviewing the LIMS or ADAMS systems would not know it was a false entry.</w:t>
      </w:r>
    </w:p>
    <w:p>
      <w:pPr>
        <w:pStyle w:val="BodyText"/>
        <w:spacing w:before="10"/>
        <w:rPr>
          <w:rFonts w:ascii="Palatino Linotype"/>
          <w:sz w:val="21"/>
        </w:rPr>
      </w:pPr>
      <w:r>
        <w:rPr/>
        <w:pict>
          <v:line style="position:absolute;mso-position-horizontal-relative:page;mso-position-vertical-relative:paragraph;z-index:1336;mso-wrap-distance-left:0;mso-wrap-distance-right:0" from="90.839996pt,16.918549pt" to="234.959996pt,16.918549pt" stroked="true" strokeweight=".599980pt" strokecolor="#000000">
            <w10:wrap type="topAndBottom"/>
          </v:line>
        </w:pict>
      </w:r>
    </w:p>
    <w:p>
      <w:pPr>
        <w:tabs>
          <w:tab w:pos="3073" w:val="left" w:leader="none"/>
          <w:tab w:pos="5427" w:val="left" w:leader="none"/>
        </w:tabs>
        <w:spacing w:line="228" w:lineRule="auto" w:before="69"/>
        <w:ind w:left="119" w:right="104" w:firstLine="0"/>
        <w:jc w:val="both"/>
        <w:rPr>
          <w:rFonts w:ascii="Palatino Linotype"/>
          <w:sz w:val="19"/>
        </w:rPr>
      </w:pPr>
      <w:r>
        <w:rPr>
          <w:rFonts w:ascii="Palatino Linotype"/>
          <w:w w:val="105"/>
          <w:position w:val="5"/>
          <w:sz w:val="13"/>
        </w:rPr>
        <w:t>4 </w:t>
      </w:r>
      <w:r>
        <w:rPr>
          <w:rFonts w:ascii="Palatino Linotype"/>
          <w:w w:val="105"/>
          <w:sz w:val="19"/>
        </w:rPr>
        <w:t>While the term </w:t>
      </w:r>
      <w:r>
        <w:rPr>
          <w:rFonts w:ascii="Palatino Linotype"/>
          <w:spacing w:val="28"/>
          <w:w w:val="105"/>
          <w:sz w:val="19"/>
        </w:rPr>
        <w:t> </w:t>
      </w:r>
      <w:r>
        <w:rPr>
          <w:rFonts w:ascii="Palatino Linotype"/>
          <w:w w:val="105"/>
          <w:sz w:val="19"/>
        </w:rPr>
        <w:t>save</w:t>
      </w:r>
      <w:r>
        <w:rPr>
          <w:rFonts w:ascii="Palatino Linotype"/>
          <w:spacing w:val="19"/>
          <w:w w:val="105"/>
          <w:sz w:val="19"/>
        </w:rPr>
        <w:t> </w:t>
      </w:r>
      <w:r>
        <w:rPr>
          <w:rFonts w:ascii="Palatino Linotype"/>
          <w:w w:val="105"/>
          <w:sz w:val="19"/>
        </w:rPr>
        <w:t>(</w:t>
        <w:tab/>
        <w:t>)   or</w:t>
      </w:r>
      <w:r>
        <w:rPr>
          <w:rFonts w:ascii="Palatino Linotype"/>
          <w:spacing w:val="12"/>
          <w:w w:val="105"/>
          <w:sz w:val="19"/>
        </w:rPr>
        <w:t> </w:t>
      </w:r>
      <w:r>
        <w:rPr>
          <w:rFonts w:ascii="Palatino Linotype"/>
          <w:w w:val="105"/>
          <w:sz w:val="19"/>
        </w:rPr>
        <w:t>quarantine</w:t>
      </w:r>
      <w:r>
        <w:rPr>
          <w:rFonts w:ascii="Palatino Linotype"/>
          <w:spacing w:val="20"/>
          <w:w w:val="105"/>
          <w:sz w:val="19"/>
        </w:rPr>
        <w:t> </w:t>
      </w:r>
      <w:r>
        <w:rPr>
          <w:rFonts w:ascii="Palatino Linotype"/>
          <w:w w:val="105"/>
          <w:sz w:val="19"/>
        </w:rPr>
        <w:t>(</w:t>
        <w:tab/>
        <w:t>) were mainly used, on </w:t>
      </w:r>
      <w:r>
        <w:rPr>
          <w:rFonts w:ascii="Palatino Linotype"/>
          <w:spacing w:val="49"/>
          <w:w w:val="105"/>
          <w:sz w:val="19"/>
        </w:rPr>
        <w:t> </w:t>
      </w:r>
      <w:r>
        <w:rPr>
          <w:rFonts w:ascii="Palatino Linotype"/>
          <w:w w:val="105"/>
          <w:sz w:val="19"/>
        </w:rPr>
        <w:t>one</w:t>
      </w:r>
      <w:r>
        <w:rPr>
          <w:rFonts w:ascii="Palatino Linotype"/>
          <w:spacing w:val="19"/>
          <w:w w:val="105"/>
          <w:sz w:val="19"/>
        </w:rPr>
        <w:t> </w:t>
      </w:r>
      <w:r>
        <w:rPr>
          <w:rFonts w:ascii="Palatino Linotype"/>
          <w:w w:val="105"/>
          <w:sz w:val="19"/>
        </w:rPr>
        <w:t>occasion</w:t>
      </w:r>
      <w:r>
        <w:rPr>
          <w:rFonts w:ascii="Palatino Linotype"/>
          <w:w w:val="103"/>
          <w:sz w:val="19"/>
        </w:rPr>
        <w:t> </w:t>
      </w:r>
      <w:r>
        <w:rPr>
          <w:rFonts w:ascii="Palatino Linotype"/>
          <w:w w:val="105"/>
          <w:sz w:val="19"/>
        </w:rPr>
        <w:t>the IP investigation staff saw documentary use </w:t>
      </w:r>
      <w:r>
        <w:rPr>
          <w:rFonts w:ascii="Palatino Linotype"/>
          <w:spacing w:val="2"/>
          <w:w w:val="105"/>
          <w:sz w:val="19"/>
        </w:rPr>
        <w:t>of </w:t>
      </w:r>
      <w:r>
        <w:rPr>
          <w:rFonts w:ascii="Palatino Linotype"/>
          <w:w w:val="105"/>
          <w:sz w:val="19"/>
        </w:rPr>
        <w:t>the question "execute or pardon" in relation to the referral of positive</w:t>
      </w:r>
      <w:r>
        <w:rPr>
          <w:rFonts w:ascii="Palatino Linotype"/>
          <w:spacing w:val="-11"/>
          <w:w w:val="105"/>
          <w:sz w:val="19"/>
        </w:rPr>
        <w:t> </w:t>
      </w:r>
      <w:r>
        <w:rPr>
          <w:rFonts w:ascii="Palatino Linotype"/>
          <w:w w:val="105"/>
          <w:sz w:val="19"/>
        </w:rPr>
        <w:t>samples.</w:t>
      </w:r>
    </w:p>
    <w:p>
      <w:pPr>
        <w:pStyle w:val="BodyText"/>
        <w:rPr>
          <w:rFonts w:ascii="Palatino Linotype"/>
          <w:sz w:val="20"/>
        </w:rPr>
      </w:pPr>
    </w:p>
    <w:p>
      <w:pPr>
        <w:pStyle w:val="BodyText"/>
        <w:rPr>
          <w:rFonts w:ascii="Palatino Linotype"/>
          <w:sz w:val="20"/>
        </w:rPr>
      </w:pPr>
    </w:p>
    <w:p>
      <w:pPr>
        <w:pStyle w:val="BodyText"/>
        <w:spacing w:before="3"/>
        <w:rPr>
          <w:rFonts w:ascii="Palatino Linotype"/>
          <w:sz w:val="13"/>
        </w:rPr>
      </w:pPr>
      <w:r>
        <w:rPr/>
        <w:drawing>
          <wp:anchor distT="0" distB="0" distL="0" distR="0" allowOverlap="1" layoutInCell="1" locked="0" behindDoc="0" simplePos="0" relativeHeight="1360">
            <wp:simplePos x="0" y="0"/>
            <wp:positionH relativeFrom="page">
              <wp:posOffset>6484620</wp:posOffset>
            </wp:positionH>
            <wp:positionV relativeFrom="paragraph">
              <wp:posOffset>138130</wp:posOffset>
            </wp:positionV>
            <wp:extent cx="150329" cy="104775"/>
            <wp:effectExtent l="0" t="0" r="0" b="0"/>
            <wp:wrapTopAndBottom/>
            <wp:docPr id="25" name="image13.png" descr=""/>
            <wp:cNvGraphicFramePr>
              <a:graphicFrameLocks noChangeAspect="1"/>
            </wp:cNvGraphicFramePr>
            <a:graphic>
              <a:graphicData uri="http://schemas.openxmlformats.org/drawingml/2006/picture">
                <pic:pic>
                  <pic:nvPicPr>
                    <pic:cNvPr id="26" name="image13.png"/>
                    <pic:cNvPicPr/>
                  </pic:nvPicPr>
                  <pic:blipFill>
                    <a:blip r:embed="rId35" cstate="print"/>
                    <a:stretch>
                      <a:fillRect/>
                    </a:stretch>
                  </pic:blipFill>
                  <pic:spPr>
                    <a:xfrm>
                      <a:off x="0" y="0"/>
                      <a:ext cx="150329" cy="104775"/>
                    </a:xfrm>
                    <a:prstGeom prst="rect">
                      <a:avLst/>
                    </a:prstGeom>
                  </pic:spPr>
                </pic:pic>
              </a:graphicData>
            </a:graphic>
          </wp:anchor>
        </w:drawing>
      </w:r>
    </w:p>
    <w:p>
      <w:pPr>
        <w:spacing w:after="0"/>
        <w:rPr>
          <w:rFonts w:ascii="Palatino Linotype"/>
          <w:sz w:val="13"/>
        </w:rPr>
        <w:sectPr>
          <w:footerReference w:type="default" r:id="rId32"/>
          <w:pgSz w:w="12240" w:h="15840"/>
          <w:pgMar w:footer="0" w:header="0" w:top="1440" w:bottom="280" w:left="1700" w:right="1680"/>
        </w:sectPr>
      </w:pPr>
    </w:p>
    <w:p>
      <w:pPr>
        <w:pStyle w:val="BodyText"/>
        <w:rPr>
          <w:rFonts w:ascii="Palatino Linotype"/>
          <w:sz w:val="20"/>
        </w:rPr>
      </w:pPr>
    </w:p>
    <w:p>
      <w:pPr>
        <w:pStyle w:val="BodyText"/>
        <w:spacing w:before="1"/>
        <w:rPr>
          <w:rFonts w:ascii="Palatino Linotype"/>
          <w:sz w:val="17"/>
        </w:rPr>
      </w:pPr>
    </w:p>
    <w:p>
      <w:pPr>
        <w:pStyle w:val="BodyText"/>
        <w:spacing w:line="429" w:lineRule="auto" w:before="8"/>
        <w:ind w:left="119" w:right="108"/>
        <w:jc w:val="both"/>
        <w:rPr>
          <w:rFonts w:ascii="Palatino Linotype"/>
        </w:rPr>
      </w:pPr>
      <w:r>
        <w:rPr>
          <w:rFonts w:ascii="Palatino Linotype"/>
        </w:rPr>
        <w:t>If the order was QUARANTINE, the Laboratory would proceed to complete the analytical bench work in accordance with the procedure governed by the International Standard for Laboratories ("ISL").</w:t>
      </w:r>
    </w:p>
    <w:p>
      <w:pPr>
        <w:pStyle w:val="BodyText"/>
        <w:rPr>
          <w:rFonts w:ascii="Palatino Linotype"/>
        </w:rPr>
      </w:pPr>
    </w:p>
    <w:p>
      <w:pPr>
        <w:pStyle w:val="BodyText"/>
        <w:spacing w:before="10"/>
        <w:rPr>
          <w:rFonts w:ascii="Palatino Linotype"/>
          <w:sz w:val="18"/>
        </w:rPr>
      </w:pPr>
    </w:p>
    <w:p>
      <w:pPr>
        <w:pStyle w:val="BodyText"/>
        <w:spacing w:line="427" w:lineRule="auto"/>
        <w:ind w:left="119" w:right="107"/>
        <w:jc w:val="both"/>
        <w:rPr>
          <w:rFonts w:ascii="Palatino Linotype"/>
        </w:rPr>
      </w:pPr>
      <w:r>
        <w:rPr>
          <w:rFonts w:ascii="Palatino Linotype"/>
        </w:rPr>
        <w:t>Not every athlete "quarantined," however, was necessarily subject to the reporting of an AAF. Further examination may have revealed that there was not sufficient conclusive analytical evidence or that the individual had a Therapeutic Use Exemption ("TUE").</w:t>
      </w:r>
    </w:p>
    <w:p>
      <w:pPr>
        <w:pStyle w:val="BodyText"/>
        <w:rPr>
          <w:rFonts w:ascii="Palatino Linotype"/>
        </w:rPr>
      </w:pPr>
    </w:p>
    <w:p>
      <w:pPr>
        <w:pStyle w:val="BodyText"/>
        <w:spacing w:before="5"/>
        <w:rPr>
          <w:rFonts w:ascii="Palatino Linotype"/>
          <w:sz w:val="19"/>
        </w:rPr>
      </w:pPr>
    </w:p>
    <w:p>
      <w:pPr>
        <w:pStyle w:val="BodyText"/>
        <w:spacing w:line="429" w:lineRule="auto"/>
        <w:ind w:left="119" w:right="107"/>
        <w:jc w:val="both"/>
        <w:rPr>
          <w:rFonts w:ascii="Georgia"/>
        </w:rPr>
      </w:pPr>
      <w:r>
        <w:rPr>
          <w:rFonts w:ascii="Palatino Linotype"/>
        </w:rPr>
        <w:t>What is evident from this process is that the Moscow Laboratory was carrying out the order given to it by the Deputy Minister of Sport. Every initial analytical screen revealing a likely AAF was communicated up the chain of command via the Liaison person. Laboratory staff was under instruction to report all positive screen results to the MofS, whatever the circumstances. They had no choice. It is for this reason that the IP has determined that the Laboratory was merely a cog in</w:t>
      </w:r>
      <w:r>
        <w:rPr>
          <w:rFonts w:ascii="Palatino Linotype"/>
          <w:spacing w:val="-4"/>
        </w:rPr>
        <w:t> </w:t>
      </w:r>
      <w:r>
        <w:rPr>
          <w:rFonts w:ascii="Palatino Linotype"/>
        </w:rPr>
        <w:t>a</w:t>
      </w:r>
      <w:r>
        <w:rPr>
          <w:rFonts w:ascii="Palatino Linotype"/>
          <w:spacing w:val="-4"/>
        </w:rPr>
        <w:t> </w:t>
      </w:r>
      <w:r>
        <w:rPr>
          <w:rFonts w:ascii="Palatino Linotype"/>
        </w:rPr>
        <w:t>State</w:t>
      </w:r>
      <w:r>
        <w:rPr>
          <w:rFonts w:ascii="Palatino Linotype"/>
          <w:spacing w:val="-3"/>
        </w:rPr>
        <w:t> </w:t>
      </w:r>
      <w:r>
        <w:rPr>
          <w:rFonts w:ascii="Palatino Linotype"/>
        </w:rPr>
        <w:t>run</w:t>
      </w:r>
      <w:r>
        <w:rPr>
          <w:rFonts w:ascii="Palatino Linotype"/>
          <w:spacing w:val="-4"/>
        </w:rPr>
        <w:t> </w:t>
      </w:r>
      <w:r>
        <w:rPr>
          <w:rFonts w:ascii="Palatino Linotype"/>
        </w:rPr>
        <w:t>machine,</w:t>
      </w:r>
      <w:r>
        <w:rPr>
          <w:rFonts w:ascii="Palatino Linotype"/>
          <w:spacing w:val="-4"/>
        </w:rPr>
        <w:t> </w:t>
      </w:r>
      <w:r>
        <w:rPr>
          <w:rFonts w:ascii="Palatino Linotype"/>
        </w:rPr>
        <w:t>and</w:t>
      </w:r>
      <w:r>
        <w:rPr>
          <w:rFonts w:ascii="Palatino Linotype"/>
          <w:spacing w:val="-5"/>
        </w:rPr>
        <w:t> </w:t>
      </w:r>
      <w:r>
        <w:rPr>
          <w:rFonts w:ascii="Palatino Linotype"/>
        </w:rPr>
        <w:t>not</w:t>
      </w:r>
      <w:r>
        <w:rPr>
          <w:rFonts w:ascii="Palatino Linotype"/>
          <w:spacing w:val="-1"/>
        </w:rPr>
        <w:t> </w:t>
      </w:r>
      <w:r>
        <w:rPr>
          <w:rFonts w:ascii="Palatino Linotype"/>
        </w:rPr>
        <w:t>the</w:t>
      </w:r>
      <w:r>
        <w:rPr>
          <w:rFonts w:ascii="Palatino Linotype"/>
          <w:spacing w:val="-6"/>
        </w:rPr>
        <w:t> </w:t>
      </w:r>
      <w:r>
        <w:rPr>
          <w:rFonts w:ascii="Palatino Linotype"/>
        </w:rPr>
        <w:t>rogue</w:t>
      </w:r>
      <w:r>
        <w:rPr>
          <w:rFonts w:ascii="Palatino Linotype"/>
          <w:spacing w:val="-4"/>
        </w:rPr>
        <w:t> </w:t>
      </w:r>
      <w:r>
        <w:rPr>
          <w:rFonts w:ascii="Palatino Linotype"/>
        </w:rPr>
        <w:t>body</w:t>
      </w:r>
      <w:r>
        <w:rPr>
          <w:rFonts w:ascii="Palatino Linotype"/>
          <w:spacing w:val="-4"/>
        </w:rPr>
        <w:t> </w:t>
      </w:r>
      <w:r>
        <w:rPr>
          <w:rFonts w:ascii="Palatino Linotype"/>
        </w:rPr>
        <w:t>of</w:t>
      </w:r>
      <w:r>
        <w:rPr>
          <w:rFonts w:ascii="Palatino Linotype"/>
          <w:spacing w:val="-4"/>
        </w:rPr>
        <w:t> </w:t>
      </w:r>
      <w:r>
        <w:rPr>
          <w:rFonts w:ascii="Palatino Linotype"/>
        </w:rPr>
        <w:t>individuals</w:t>
      </w:r>
      <w:r>
        <w:rPr>
          <w:rFonts w:ascii="Palatino Linotype"/>
          <w:spacing w:val="-5"/>
        </w:rPr>
        <w:t> </w:t>
      </w:r>
      <w:r>
        <w:rPr>
          <w:rFonts w:ascii="Palatino Linotype"/>
        </w:rPr>
        <w:t>that</w:t>
      </w:r>
      <w:r>
        <w:rPr>
          <w:rFonts w:ascii="Palatino Linotype"/>
          <w:spacing w:val="-3"/>
        </w:rPr>
        <w:t> </w:t>
      </w:r>
      <w:r>
        <w:rPr>
          <w:rFonts w:ascii="Palatino Linotype"/>
        </w:rPr>
        <w:t>has</w:t>
      </w:r>
      <w:r>
        <w:rPr>
          <w:rFonts w:ascii="Palatino Linotype"/>
          <w:spacing w:val="-3"/>
        </w:rPr>
        <w:t> </w:t>
      </w:r>
      <w:r>
        <w:rPr>
          <w:rFonts w:ascii="Palatino Linotype"/>
        </w:rPr>
        <w:t>alleged</w:t>
      </w:r>
      <w:r>
        <w:rPr>
          <w:rFonts w:ascii="Georgia"/>
        </w:rPr>
        <w:t>.</w:t>
      </w:r>
    </w:p>
    <w:p>
      <w:pPr>
        <w:pStyle w:val="BodyText"/>
        <w:rPr>
          <w:rFonts w:ascii="Georgia"/>
        </w:rPr>
      </w:pPr>
    </w:p>
    <w:p>
      <w:pPr>
        <w:pStyle w:val="BodyText"/>
        <w:rPr>
          <w:rFonts w:ascii="Georgia"/>
        </w:rPr>
      </w:pPr>
    </w:p>
    <w:p>
      <w:pPr>
        <w:pStyle w:val="BodyText"/>
        <w:spacing w:before="6"/>
        <w:rPr>
          <w:rFonts w:ascii="Georgia"/>
          <w:sz w:val="19"/>
        </w:rPr>
      </w:pPr>
    </w:p>
    <w:p>
      <w:pPr>
        <w:pStyle w:val="ListParagraph"/>
        <w:numPr>
          <w:ilvl w:val="2"/>
          <w:numId w:val="13"/>
        </w:numPr>
        <w:tabs>
          <w:tab w:pos="659" w:val="left" w:leader="none"/>
        </w:tabs>
        <w:spacing w:line="240" w:lineRule="auto" w:before="0" w:after="0"/>
        <w:ind w:left="658" w:right="0" w:hanging="539"/>
        <w:jc w:val="both"/>
        <w:rPr>
          <w:rFonts w:ascii="Georgia"/>
          <w:sz w:val="24"/>
        </w:rPr>
      </w:pPr>
      <w:r>
        <w:rPr>
          <w:rFonts w:ascii="Georgia"/>
          <w:w w:val="105"/>
          <w:sz w:val="24"/>
        </w:rPr>
        <w:t>Investigative</w:t>
      </w:r>
      <w:r>
        <w:rPr>
          <w:rFonts w:ascii="Georgia"/>
          <w:spacing w:val="-15"/>
          <w:w w:val="105"/>
          <w:sz w:val="24"/>
        </w:rPr>
        <w:t> </w:t>
      </w:r>
      <w:r>
        <w:rPr>
          <w:rFonts w:ascii="Georgia"/>
          <w:w w:val="105"/>
          <w:sz w:val="24"/>
        </w:rPr>
        <w:t>Results</w:t>
      </w:r>
      <w:r>
        <w:rPr>
          <w:rFonts w:ascii="Georgia"/>
          <w:spacing w:val="-9"/>
          <w:w w:val="105"/>
          <w:sz w:val="24"/>
        </w:rPr>
        <w:t> </w:t>
      </w:r>
      <w:r>
        <w:rPr>
          <w:rFonts w:ascii="Lucida Sans Unicode"/>
          <w:w w:val="105"/>
          <w:sz w:val="24"/>
        </w:rPr>
        <w:t>C</w:t>
      </w:r>
      <w:r>
        <w:rPr>
          <w:rFonts w:ascii="Georgia"/>
          <w:w w:val="105"/>
          <w:sz w:val="24"/>
        </w:rPr>
        <w:t>oncerning</w:t>
      </w:r>
      <w:r>
        <w:rPr>
          <w:rFonts w:ascii="Georgia"/>
          <w:spacing w:val="-13"/>
          <w:w w:val="105"/>
          <w:sz w:val="24"/>
        </w:rPr>
        <w:t> </w:t>
      </w:r>
      <w:r>
        <w:rPr>
          <w:rFonts w:ascii="Georgia"/>
          <w:w w:val="105"/>
          <w:sz w:val="24"/>
        </w:rPr>
        <w:t>the</w:t>
      </w:r>
      <w:r>
        <w:rPr>
          <w:rFonts w:ascii="Georgia"/>
          <w:spacing w:val="-15"/>
          <w:w w:val="105"/>
          <w:sz w:val="24"/>
        </w:rPr>
        <w:t> </w:t>
      </w:r>
      <w:r>
        <w:rPr>
          <w:rFonts w:ascii="Georgia"/>
          <w:w w:val="105"/>
          <w:sz w:val="24"/>
        </w:rPr>
        <w:t>Disappearing</w:t>
      </w:r>
      <w:r>
        <w:rPr>
          <w:rFonts w:ascii="Georgia"/>
          <w:spacing w:val="-15"/>
          <w:w w:val="105"/>
          <w:sz w:val="24"/>
        </w:rPr>
        <w:t> </w:t>
      </w:r>
      <w:r>
        <w:rPr>
          <w:rFonts w:ascii="Georgia"/>
          <w:w w:val="105"/>
          <w:sz w:val="24"/>
        </w:rPr>
        <w:t>Positive</w:t>
      </w:r>
      <w:r>
        <w:rPr>
          <w:rFonts w:ascii="Georgia"/>
          <w:spacing w:val="-15"/>
          <w:w w:val="105"/>
          <w:sz w:val="24"/>
        </w:rPr>
        <w:t> </w:t>
      </w:r>
      <w:r>
        <w:rPr>
          <w:rFonts w:ascii="Georgia"/>
          <w:w w:val="105"/>
          <w:sz w:val="24"/>
        </w:rPr>
        <w:t>Methodology</w:t>
      </w:r>
    </w:p>
    <w:p>
      <w:pPr>
        <w:pStyle w:val="BodyText"/>
        <w:rPr>
          <w:rFonts w:ascii="Georgia"/>
        </w:rPr>
      </w:pPr>
    </w:p>
    <w:p>
      <w:pPr>
        <w:pStyle w:val="BodyText"/>
        <w:spacing w:before="7"/>
        <w:rPr>
          <w:rFonts w:ascii="Georgia"/>
          <w:sz w:val="33"/>
        </w:rPr>
      </w:pPr>
    </w:p>
    <w:p>
      <w:pPr>
        <w:pStyle w:val="BodyText"/>
        <w:spacing w:line="427" w:lineRule="auto"/>
        <w:ind w:left="119" w:right="108"/>
        <w:jc w:val="both"/>
        <w:rPr>
          <w:rFonts w:ascii="Palatino Linotype"/>
        </w:rPr>
      </w:pPr>
      <w:r>
        <w:rPr>
          <w:rFonts w:ascii="Palatino Linotype"/>
        </w:rPr>
        <w:t>The Disappearing Positive Methodology was identified as operating over the period from at least late 2011 to August 2015. It affected athletes from all sport</w:t>
      </w:r>
    </w:p>
    <w:p>
      <w:pPr>
        <w:spacing w:after="0" w:line="427" w:lineRule="auto"/>
        <w:jc w:val="both"/>
        <w:rPr>
          <w:rFonts w:ascii="Palatino Linotype"/>
        </w:rPr>
        <w:sectPr>
          <w:footerReference w:type="default" r:id="rId36"/>
          <w:pgSz w:w="12240" w:h="15840"/>
          <w:pgMar w:footer="707" w:header="0" w:top="1500" w:bottom="900" w:left="1700" w:right="1680"/>
        </w:sectPr>
      </w:pPr>
    </w:p>
    <w:p>
      <w:pPr>
        <w:pStyle w:val="BodyText"/>
        <w:spacing w:line="429" w:lineRule="auto"/>
        <w:ind w:left="119" w:right="106"/>
        <w:jc w:val="both"/>
        <w:rPr>
          <w:rFonts w:ascii="Palatino Linotype"/>
        </w:rPr>
      </w:pPr>
      <w:r>
        <w:rPr>
          <w:rFonts w:ascii="Palatino Linotype"/>
        </w:rPr>
        <w:t>disciplines whose urine samples were being analysed by the Moscow Laboratory. According to the IP witnesses, athletes that were ordered SAVE tended to be medal winners or athletes of promise. Foreign athletes, or Russian athletes deemed unpromising, were ordered QUARANTINE by the MofS and their Laboratory bench work was completed using the regular laboratory analytical</w:t>
      </w:r>
      <w:r>
        <w:rPr>
          <w:rFonts w:ascii="Palatino Linotype"/>
          <w:spacing w:val="-17"/>
        </w:rPr>
        <w:t> </w:t>
      </w:r>
      <w:r>
        <w:rPr>
          <w:rFonts w:ascii="Palatino Linotype"/>
        </w:rPr>
        <w:t>process.</w:t>
      </w:r>
    </w:p>
    <w:p>
      <w:pPr>
        <w:pStyle w:val="BodyText"/>
        <w:rPr>
          <w:rFonts w:ascii="Palatino Linotype"/>
        </w:rPr>
      </w:pPr>
    </w:p>
    <w:p>
      <w:pPr>
        <w:pStyle w:val="BodyText"/>
        <w:spacing w:before="10"/>
        <w:rPr>
          <w:rFonts w:ascii="Palatino Linotype"/>
          <w:sz w:val="18"/>
        </w:rPr>
      </w:pPr>
    </w:p>
    <w:p>
      <w:pPr>
        <w:pStyle w:val="BodyText"/>
        <w:spacing w:line="429" w:lineRule="auto"/>
        <w:ind w:left="119" w:right="107"/>
        <w:jc w:val="both"/>
        <w:rPr>
          <w:rFonts w:ascii="Palatino Linotype"/>
        </w:rPr>
      </w:pPr>
      <w:r>
        <w:rPr>
          <w:rFonts w:ascii="Palatino Linotype"/>
        </w:rPr>
        <w:t>A total of 643 positive screen Athlete Profile reports were reviewed and catalogued by the IP into a database. From that database, the IP was able to develop certain statistics that explain the overall results of the Disappearing Positive Methodology.</w:t>
      </w:r>
    </w:p>
    <w:p>
      <w:pPr>
        <w:pStyle w:val="BodyText"/>
        <w:rPr>
          <w:rFonts w:ascii="Palatino Linotype"/>
        </w:rPr>
      </w:pPr>
    </w:p>
    <w:p>
      <w:pPr>
        <w:pStyle w:val="BodyText"/>
        <w:spacing w:before="9"/>
        <w:rPr>
          <w:rFonts w:ascii="Palatino Linotype"/>
          <w:sz w:val="18"/>
        </w:rPr>
      </w:pPr>
    </w:p>
    <w:p>
      <w:pPr>
        <w:pStyle w:val="BodyText"/>
        <w:spacing w:line="429" w:lineRule="auto"/>
        <w:ind w:left="119" w:right="109"/>
        <w:jc w:val="both"/>
        <w:rPr>
          <w:rFonts w:ascii="Palatino Linotype"/>
        </w:rPr>
      </w:pPr>
      <w:r>
        <w:rPr>
          <w:rFonts w:ascii="Palatino Linotype"/>
        </w:rPr>
        <w:t>For example, the statistics show that the MofS made SAVE or QUARANTINE orders on 577 Athlete Profiles resulting in over 50 percent distribution of SAVEs for Russian athletes.</w:t>
      </w:r>
    </w:p>
    <w:p>
      <w:pPr>
        <w:spacing w:after="0" w:line="429" w:lineRule="auto"/>
        <w:jc w:val="both"/>
        <w:rPr>
          <w:rFonts w:ascii="Palatino Linotype"/>
        </w:rPr>
        <w:sectPr>
          <w:pgSz w:w="12240" w:h="15840"/>
          <w:pgMar w:header="0" w:footer="707" w:top="1440" w:bottom="900" w:left="1700" w:right="1680"/>
        </w:sectPr>
      </w:pPr>
    </w:p>
    <w:p>
      <w:pPr>
        <w:pStyle w:val="BodyText"/>
        <w:ind w:left="393"/>
        <w:rPr>
          <w:rFonts w:ascii="Palatino Linotype"/>
          <w:sz w:val="20"/>
        </w:rPr>
      </w:pPr>
      <w:r>
        <w:rPr>
          <w:rFonts w:ascii="Palatino Linotype"/>
          <w:sz w:val="20"/>
        </w:rPr>
        <w:pict>
          <v:group style="width:387.85pt;height:233.9pt;mso-position-horizontal-relative:char;mso-position-vertical-relative:line" coordorigin="0,0" coordsize="7757,4678">
            <v:shape style="position:absolute;left:553;top:1461;width:4390;height:2700" type="#_x0000_t75" stroked="false">
              <v:imagedata r:id="rId37" o:title=""/>
            </v:shape>
            <v:shape style="position:absolute;left:3220;top:2518;width:370;height:152" type="#_x0000_t75" stroked="false">
              <v:imagedata r:id="rId38" o:title=""/>
            </v:shape>
            <v:shape style="position:absolute;left:1806;top:2152;width:377;height:146" type="#_x0000_t75" stroked="false">
              <v:imagedata r:id="rId39" o:title=""/>
            </v:shape>
            <v:shape style="position:absolute;left:1789;top:301;width:653;height:218" type="#_x0000_t75" stroked="false">
              <v:imagedata r:id="rId40" o:title=""/>
            </v:shape>
            <v:shape style="position:absolute;left:2533;top:294;width:535;height:226" type="#_x0000_t75" stroked="false">
              <v:imagedata r:id="rId41" o:title=""/>
            </v:shape>
            <v:shape style="position:absolute;left:2668;top:294;width:3300;height:607" type="#_x0000_t75" stroked="false">
              <v:imagedata r:id="rId42" o:title=""/>
            </v:shape>
            <v:rect style="position:absolute;left:5337;top:2193;width:108;height:108" filled="true" fillcolor="#5586b6" stroked="false">
              <v:fill type="solid"/>
            </v:rect>
            <v:shape style="position:absolute;left:5339;top:2193;width:106;height:106" coordorigin="5339,2193" coordsize="106,106" path="m5339,2193l5445,2193,5445,2298,5339,2298,5339,2193,5411,2193e" filled="false" stroked="true" strokeweight=".84pt" strokecolor="#f9f9f9">
              <v:path arrowok="t"/>
            </v:shape>
            <v:shape style="position:absolute;left:5495;top:2195;width:406;height:137" type="#_x0000_t75" stroked="false">
              <v:imagedata r:id="rId43" o:title=""/>
            </v:shape>
            <v:shape style="position:absolute;left:5968;top:2240;width:92;height:63" coordorigin="5968,2240" coordsize="92,63" path="m6059,2240l5968,2240,5968,2260,6059,2260,6059,2240xm6059,2284l5968,2284,5968,2303,6059,2303,6059,2284xe" filled="true" fillcolor="#000000" stroked="false">
              <v:path arrowok="t"/>
              <v:fill type="solid"/>
            </v:shape>
            <v:shape style="position:absolute;left:6128;top:2195;width:89;height:137" coordorigin="6128,2195" coordsize="89,137" path="m6145,2301l6128,2301,6128,2325,6138,2329,6145,2329,6152,2332,6179,2332,6193,2327,6203,2322,6160,2322,6155,2320,6152,2317,6150,2313,6145,2308,6145,2301xm6205,2205l6174,2205,6176,2207,6181,2209,6186,2219,6186,2236,6181,2243,6176,2248,6172,2255,6162,2257,6152,2257,6152,2267,6169,2267,6176,2269,6186,2279,6188,2286,6188,2313,6181,2322,6203,2322,6208,2320,6210,2313,6215,2308,6217,2301,6217,2286,6210,2272,6205,2267,6200,2265,6198,2262,6191,2260,6186,2260,6193,2255,6198,2253,6208,2243,6215,2229,6215,2217,6210,2207,6205,2205xm6188,2195l6174,2195,6163,2195,6152,2197,6142,2200,6131,2205,6131,2229,6148,2229,6148,2221,6150,2219,6152,2214,6152,2212,6155,2207,6160,2207,6162,2205,6205,2205,6200,2200,6196,2197,6188,2195xe" filled="true" fillcolor="#000000" stroked="false">
              <v:path arrowok="t"/>
              <v:fill type="solid"/>
            </v:shape>
            <v:shape style="position:absolute;left:6248;top:2195;width:200;height:134" type="#_x0000_t75" stroked="false">
              <v:imagedata r:id="rId44" o:title=""/>
            </v:shape>
            <v:shape style="position:absolute;left:5330;top:2638;width:1508;height:181" type="#_x0000_t75" stroked="false">
              <v:imagedata r:id="rId45" o:title=""/>
            </v:shape>
            <v:shape style="position:absolute;left:6869;top:2640;width:211;height:143" type="#_x0000_t75" stroked="false">
              <v:imagedata r:id="rId46" o:title=""/>
            </v:shape>
            <v:shape style="position:absolute;left:9;top:9;width:7740;height:4661" coordorigin="9,9" coordsize="7740,4661" path="m9,9l7749,9,7749,4669,9,4669,9,9,81,9e" filled="false" stroked="true" strokeweight=".84pt" strokecolor="#989898">
              <v:path arrowok="t"/>
            </v:shape>
          </v:group>
        </w:pict>
      </w:r>
      <w:r>
        <w:rPr>
          <w:rFonts w:ascii="Palatino Linotype"/>
          <w:sz w:val="20"/>
        </w:rPr>
      </w:r>
    </w:p>
    <w:p>
      <w:pPr>
        <w:pStyle w:val="BodyText"/>
        <w:rPr>
          <w:rFonts w:ascii="Palatino Linotype"/>
          <w:sz w:val="20"/>
        </w:rPr>
      </w:pPr>
    </w:p>
    <w:p>
      <w:pPr>
        <w:pStyle w:val="BodyText"/>
        <w:rPr>
          <w:rFonts w:ascii="Palatino Linotype"/>
          <w:sz w:val="20"/>
        </w:rPr>
      </w:pPr>
    </w:p>
    <w:p>
      <w:pPr>
        <w:pStyle w:val="BodyText"/>
        <w:spacing w:before="1"/>
        <w:rPr>
          <w:rFonts w:ascii="Palatino Linotype"/>
          <w:sz w:val="20"/>
        </w:rPr>
      </w:pPr>
    </w:p>
    <w:p>
      <w:pPr>
        <w:pStyle w:val="BodyText"/>
        <w:spacing w:line="501" w:lineRule="auto" w:before="36"/>
        <w:ind w:left="119" w:right="100"/>
        <w:jc w:val="both"/>
      </w:pPr>
      <w:r>
        <w:rPr>
          <w:w w:val="105"/>
        </w:rPr>
        <w:t>Through the IP's review  of  the  communication  exchanged  between  Liaison  person Velikodniy  and the  Laboratory, a common pattern  emerged where  nearly  all foreigners were ordered QUARANTINE. Here is an excerpt from  recovered digital communication during the 2013 Moscow Championships: "</w:t>
      </w:r>
      <w:r>
        <w:rPr>
          <w:rFonts w:ascii="Georgia"/>
          <w:i/>
          <w:w w:val="105"/>
        </w:rPr>
        <w:t>All foreigners </w:t>
      </w:r>
      <w:r>
        <w:rPr>
          <w:rFonts w:ascii="Georgia"/>
          <w:i/>
          <w:w w:val="110"/>
        </w:rPr>
        <w:t>- </w:t>
      </w:r>
      <w:r>
        <w:rPr>
          <w:rFonts w:ascii="Georgia"/>
          <w:i/>
        </w:rPr>
        <w:t>quarantine</w:t>
      </w:r>
      <w:r>
        <w:rPr/>
        <w:t>!"</w:t>
      </w:r>
      <w:r>
        <w:rPr>
          <w:spacing w:val="-8"/>
        </w:rPr>
        <w:t> </w:t>
      </w:r>
      <w:r>
        <w:rPr/>
        <w:t>and</w:t>
      </w:r>
      <w:r>
        <w:rPr>
          <w:spacing w:val="-8"/>
        </w:rPr>
        <w:t> </w:t>
      </w:r>
      <w:r>
        <w:rPr/>
        <w:t>during</w:t>
      </w:r>
      <w:r>
        <w:rPr>
          <w:spacing w:val="-8"/>
        </w:rPr>
        <w:t> </w:t>
      </w:r>
      <w:r>
        <w:rPr/>
        <w:t>another</w:t>
      </w:r>
      <w:r>
        <w:rPr>
          <w:spacing w:val="-5"/>
        </w:rPr>
        <w:t> </w:t>
      </w:r>
      <w:r>
        <w:rPr/>
        <w:t>event</w:t>
      </w:r>
      <w:r>
        <w:rPr>
          <w:spacing w:val="-8"/>
        </w:rPr>
        <w:t> </w:t>
      </w:r>
      <w:r>
        <w:rPr/>
        <w:t>"</w:t>
      </w:r>
      <w:r>
        <w:rPr>
          <w:rFonts w:ascii="Georgia"/>
          <w:i/>
        </w:rPr>
        <w:t>Foreigners</w:t>
      </w:r>
      <w:r>
        <w:rPr>
          <w:rFonts w:ascii="Georgia"/>
          <w:i/>
          <w:spacing w:val="-6"/>
        </w:rPr>
        <w:t> </w:t>
      </w:r>
      <w:r>
        <w:rPr>
          <w:rFonts w:ascii="Georgia"/>
          <w:i/>
        </w:rPr>
        <w:t>-</w:t>
      </w:r>
      <w:r>
        <w:rPr>
          <w:rFonts w:ascii="Georgia"/>
          <w:i/>
          <w:spacing w:val="-6"/>
        </w:rPr>
        <w:t> </w:t>
      </w:r>
      <w:r>
        <w:rPr>
          <w:rFonts w:ascii="Georgia"/>
          <w:i/>
        </w:rPr>
        <w:t>Quarantine.</w:t>
      </w:r>
      <w:r>
        <w:rPr/>
        <w:t>"</w:t>
      </w:r>
    </w:p>
    <w:p>
      <w:pPr>
        <w:pStyle w:val="BodyText"/>
      </w:pPr>
    </w:p>
    <w:p>
      <w:pPr>
        <w:pStyle w:val="BodyText"/>
        <w:spacing w:before="9"/>
        <w:rPr>
          <w:sz w:val="26"/>
        </w:rPr>
      </w:pPr>
    </w:p>
    <w:p>
      <w:pPr>
        <w:pStyle w:val="BodyText"/>
        <w:spacing w:line="504" w:lineRule="auto"/>
        <w:ind w:left="119" w:right="104"/>
        <w:jc w:val="both"/>
      </w:pPr>
      <w:r>
        <w:rPr>
          <w:w w:val="110"/>
        </w:rPr>
        <w:t>The statistical analysis of the Athlete Profile database confirms that 88 percent of foreign athletes were ordered QUARANTINE, resulting in processing of their urine sample in accordance with the ISL.</w:t>
      </w:r>
    </w:p>
    <w:p>
      <w:pPr>
        <w:spacing w:after="0" w:line="504" w:lineRule="auto"/>
        <w:jc w:val="both"/>
        <w:sectPr>
          <w:pgSz w:w="12240" w:h="15840"/>
          <w:pgMar w:header="0" w:footer="707" w:top="1460" w:bottom="900" w:left="1700" w:right="1680"/>
        </w:sectPr>
      </w:pPr>
    </w:p>
    <w:p>
      <w:pPr>
        <w:pStyle w:val="BodyText"/>
        <w:ind w:left="110"/>
        <w:rPr>
          <w:sz w:val="20"/>
        </w:rPr>
      </w:pPr>
      <w:r>
        <w:rPr>
          <w:sz w:val="20"/>
        </w:rPr>
        <w:pict>
          <v:group style="width:385.85pt;height:216.85pt;mso-position-horizontal-relative:char;mso-position-vertical-relative:line" coordorigin="0,0" coordsize="7717,4337">
            <v:shape style="position:absolute;left:620;top:1552;width:4452;height:2316" type="#_x0000_t75" stroked="false">
              <v:imagedata r:id="rId47" o:title=""/>
            </v:shape>
            <v:shape style="position:absolute;left:2929;top:1835;width:365;height:146" type="#_x0000_t75" stroked="false">
              <v:imagedata r:id="rId48" o:title=""/>
            </v:shape>
            <v:shape style="position:absolute;left:2301;top:2461;width:374;height:146" type="#_x0000_t75" stroked="false">
              <v:imagedata r:id="rId49" o:title=""/>
            </v:shape>
            <v:shape style="position:absolute;left:1509;top:316;width:731;height:245" type="#_x0000_t75" stroked="false">
              <v:imagedata r:id="rId50" o:title=""/>
            </v:shape>
            <v:shape style="position:absolute;left:2344;top:306;width:605;height:254" type="#_x0000_t75" stroked="false">
              <v:imagedata r:id="rId51" o:title=""/>
            </v:shape>
            <v:shape style="position:absolute;left:3056;top:313;width:1855;height:311" type="#_x0000_t75" stroked="false">
              <v:imagedata r:id="rId52" o:title=""/>
            </v:shape>
            <v:shape style="position:absolute;left:5022;top:318;width:221;height:240" coordorigin="5022,318" coordsize="221,240" path="m5108,544l5029,544,5027,546,5022,546,5022,558,5116,558,5116,546,5108,544xm5176,457l5116,457,5120,460,5128,467,5130,472,5135,476,5140,486,5152,517,5158,529,5164,540,5169,550,5173,558,5243,558,5243,546,5236,546,5231,541,5224,536,5219,532,5209,512,5200,488,5195,479,5190,472,5176,457xm5149,318l5022,318,5022,330,5027,332,5029,332,5032,335,5034,335,5039,340,5039,349,5041,352,5041,524,5039,527,5039,534,5036,536,5036,539,5032,544,5104,544,5099,539,5099,536,5096,532,5096,457,5176,457,5171,452,5161,450,5161,448,5173,443,5183,438,5186,436,5096,436,5096,340,5196,340,5195,337,5188,332,5183,330,5176,325,5156,320,5149,318xm5196,340l5128,340,5137,344,5152,359,5156,371,5156,392,5154,400,5154,407,5144,426,5140,431,5132,433,5128,436,5186,436,5190,433,5195,426,5202,421,5204,412,5209,404,5212,395,5212,373,5207,359,5204,354,5202,347,5197,342,5196,340xe" filled="true" fillcolor="#000000" stroked="false">
              <v:path arrowok="t"/>
              <v:fill type="solid"/>
            </v:shape>
            <v:shape style="position:absolute;left:5260;top:380;width:161;height:180" coordorigin="5260,380" coordsize="161,180" path="m5356,380l5344,380,5332,381,5320,384,5310,388,5300,392,5291,397,5282,404,5275,413,5269,424,5265,434,5262,445,5260,458,5260,472,5261,492,5265,511,5271,526,5279,539,5291,548,5305,555,5321,559,5341,560,5356,560,5370,558,5389,549,5398,543,5407,535,5408,534,5339,534,5329,529,5322,520,5317,511,5313,500,5311,487,5310,472,5420,472,5420,457,5420,452,5310,452,5312,436,5315,424,5320,414,5327,404,5334,400,5399,400,5392,395,5387,390,5365,383,5356,380xm5401,510l5394,520,5384,524,5377,529,5372,532,5363,534,5408,534,5416,527,5401,510xm5399,400l5351,400,5358,404,5363,414,5368,421,5370,436,5370,452,5420,452,5418,445,5413,426,5411,419,5406,412,5404,404,5399,400xe" filled="true" fillcolor="#000000" stroked="false">
              <v:path arrowok="t"/>
              <v:fill type="solid"/>
            </v:shape>
            <v:shape style="position:absolute;left:5449;top:380;width:140;height:180" coordorigin="5449,380" coordsize="140,180" path="m5473,510l5449,510,5449,553,5467,556,5483,559,5499,560,5514,560,5536,560,5543,558,5552,556,5560,551,5567,548,5574,544,5576,541,5500,541,5492,539,5485,534,5480,529,5476,520,5473,510xm5545,380l5528,380,5518,381,5507,382,5497,385,5488,388,5478,390,5468,397,5461,404,5456,412,5454,421,5454,443,5456,448,5459,455,5461,460,5466,462,5476,472,5480,474,5488,479,5492,481,5500,484,5512,488,5519,493,5528,498,5531,503,5533,505,5536,510,5538,512,5538,524,5536,532,5531,536,5526,539,5519,541,5576,541,5579,536,5581,529,5586,524,5588,515,5588,498,5586,488,5581,484,5579,476,5567,464,5560,460,5550,455,5538,452,5526,445,5519,443,5514,440,5507,433,5507,431,5504,428,5504,409,5509,404,5514,402,5521,400,5586,400,5586,385,5572,383,5552,383,5545,380xm5586,400l5538,400,5543,402,5545,404,5550,407,5552,409,5557,419,5562,426,5586,426,5586,400xe" filled="true" fillcolor="#000000" stroked="false">
              <v:path arrowok="t"/>
              <v:fill type="solid"/>
            </v:shape>
            <v:shape style="position:absolute;left:5610;top:383;width:192;height:178" coordorigin="5610,383" coordsize="192,178" path="m5677,383l5610,383,5610,395,5613,395,5615,397,5617,397,5620,400,5622,400,5622,402,5625,402,5625,407,5627,407,5627,513,5629,525,5632,534,5641,549,5656,558,5665,561,5687,561,5697,558,5704,556,5713,551,5723,544,5735,534,5694,534,5692,532,5687,529,5685,527,5685,525,5680,515,5680,501,5677,493,5677,383xm5783,383l5716,383,5716,395,5721,397,5723,397,5728,402,5730,402,5730,405,5733,407,5733,515,5728,520,5725,525,5716,529,5711,534,5735,534,5737,537,5735,561,5757,561,5802,558,5802,546,5797,546,5793,541,5790,541,5785,537,5785,527,5783,522,5783,383xe" filled="true" fillcolor="#000000" stroked="false">
              <v:path arrowok="t"/>
              <v:fill type="solid"/>
            </v:shape>
            <v:shape style="position:absolute;left:5823;top:306;width:87;height:252" coordorigin="5823,306" coordsize="87,252" path="m5904,544l5830,544,5827,546,5825,546,5825,558,5909,558,5909,546,5904,544xm5892,306l5871,306,5823,309,5823,321,5827,321,5830,323,5832,323,5839,330,5839,337,5842,340,5842,529,5839,532,5839,537,5832,544,5899,544,5895,539,5895,534,5892,529,5892,306xe" filled="true" fillcolor="#000000" stroked="false">
              <v:path arrowok="t"/>
              <v:fill type="solid"/>
            </v:shape>
            <v:shape style="position:absolute;left:5932;top:338;width:128;height:221" coordorigin="5932,338" coordsize="128,221" path="m6004,403l5953,403,5953,502,5954,515,5957,527,5960,537,5965,545,5973,551,5982,556,5993,558,6006,559,6013,559,6032,554,6040,552,6059,538,6056,533,6018,533,6016,530,6011,528,6008,526,6006,521,6006,514,6004,509,6004,403xm6049,523l6044,526,6040,530,6037,530,6035,533,6056,533,6049,523xm6004,338l5963,338,5963,348,5960,355,5960,362,5958,367,5958,372,5953,382,5948,386,5939,391,5932,391,5932,403,6054,403,6054,382,6004,382,6004,338xe" filled="true" fillcolor="#000000" stroked="false">
              <v:path arrowok="t"/>
              <v:fill type="solid"/>
            </v:shape>
            <v:shape style="position:absolute;left:6071;top:380;width:140;height:180" coordorigin="6071,380" coordsize="140,180" path="m6095,510l6071,510,6071,553,6088,556,6105,559,6121,560,6136,560,6157,560,6177,556,6184,551,6189,548,6196,544,6197,541,6124,541,6114,539,6109,534,6102,529,6097,520,6095,510xm6167,380l6136,380,6124,383,6112,388,6100,390,6090,397,6085,404,6078,412,6076,421,6076,443,6078,448,6083,455,6085,460,6090,462,6093,467,6097,472,6105,474,6109,479,6117,481,6121,484,6133,488,6141,493,6150,498,6157,505,6160,510,6160,524,6157,532,6153,536,6148,539,6141,541,6197,541,6205,529,6208,524,6210,515,6210,498,6208,488,6205,484,6201,476,6189,464,6181,460,6172,455,6162,452,6150,445,6141,443,6126,428,6126,414,6129,409,6133,404,6143,400,6208,400,6208,385,6193,383,6177,383,6167,380xm6208,400l6160,400,6169,404,6179,414,6181,419,6184,426,6208,426,6208,400xe" filled="true" fillcolor="#000000" stroked="false">
              <v:path arrowok="t"/>
              <v:fill type="solid"/>
            </v:shape>
            <v:shape style="position:absolute;left:2550;top:733;width:1250;height:324" type="#_x0000_t75" stroked="false">
              <v:imagedata r:id="rId53" o:title=""/>
            </v:shape>
            <v:shape style="position:absolute;left:3889;top:725;width:679;height:254" type="#_x0000_t75" stroked="false">
              <v:imagedata r:id="rId54" o:title=""/>
            </v:shape>
            <v:shape style="position:absolute;left:4600;top:758;width:650;height:222" type="#_x0000_t75" stroked="false">
              <v:imagedata r:id="rId55" o:title=""/>
            </v:shape>
            <v:rect style="position:absolute;left:5209;top:2140;width:108;height:108" filled="true" fillcolor="#856ea0" stroked="false">
              <v:fill type="solid"/>
            </v:rect>
            <v:shape style="position:absolute;left:5209;top:2142;width:106;height:106" coordorigin="5209,2142" coordsize="106,106" path="m5209,2142l5315,2142,5315,2248,5209,2248,5209,2142,5281,2142e" filled="false" stroked="true" strokeweight=".84pt" strokecolor="#f9f9f9">
              <v:path arrowok="t"/>
            </v:shape>
            <v:shape style="position:absolute;left:5365;top:2142;width:408;height:137" type="#_x0000_t75" stroked="false">
              <v:imagedata r:id="rId56" o:title=""/>
            </v:shape>
            <v:shape style="position:absolute;left:5838;top:2188;width:92;height:63" coordorigin="5838,2188" coordsize="92,63" path="m5929,2188l5838,2188,5838,2207,5929,2207,5929,2188xm5929,2231l5838,2231,5838,2250,5929,2250,5929,2231xe" filled="true" fillcolor="#000000" stroked="false">
              <v:path arrowok="t"/>
              <v:fill type="solid"/>
            </v:shape>
            <v:shape style="position:absolute;left:5995;top:2142;width:99;height:137" coordorigin="5995,2142" coordsize="99,137" path="m6063,2142l6039,2142,6029,2145,6015,2149,6007,2154,6005,2159,6000,2164,5998,2171,5998,2190,6005,2202,6019,2207,6019,2209,6010,2214,6007,2217,6003,2219,6000,2224,5998,2226,5998,2231,5995,2236,5995,2250,5998,2257,6003,2262,6005,2267,6012,2272,6019,2274,6027,2279,6053,2279,6063,2277,6077,2272,6081,2269,6039,2269,6034,2267,6029,2262,6027,2257,6024,2250,6024,2231,6027,2226,6027,2221,6029,2219,6034,2217,6036,2214,6041,2212,6082,2212,6079,2209,6072,2207,6079,2202,6041,2202,6036,2200,6031,2195,6027,2185,6027,2169,6029,2161,6031,2159,6034,2154,6039,2152,6082,2152,6075,2145,6063,2142xm6082,2212l6048,2212,6053,2214,6060,2221,6065,2231,6065,2253,6060,2262,6053,2269,6081,2269,6084,2267,6089,2260,6091,2255,6094,2248,6094,2233,6091,2226,6089,2221,6084,2214,6082,2212xm6082,2152l6053,2152,6058,2154,6065,2169,6065,2185,6063,2193,6060,2195,6058,2200,6053,2202,6079,2202,6084,2200,6089,2193,6094,2183,6094,2164,6089,2157,6082,2152xe" filled="true" fillcolor="#000000" stroked="false">
              <v:path arrowok="t"/>
              <v:fill type="solid"/>
            </v:shape>
            <v:shape style="position:absolute;left:5201;top:2496;width:1355;height:181" type="#_x0000_t75" stroked="false">
              <v:imagedata r:id="rId57" o:title=""/>
            </v:shape>
            <v:shape style="position:absolute;left:6628;top:2499;width:211;height:143" type="#_x0000_t75" stroked="false">
              <v:imagedata r:id="rId58" o:title=""/>
            </v:shape>
            <v:shape style="position:absolute;left:9;top:9;width:7700;height:4320" coordorigin="9,9" coordsize="7700,4320" path="m9,9l7708,9,7708,4329,9,4329,9,9,81,9e" filled="false" stroked="true" strokeweight=".84pt" strokecolor="#989898">
              <v:path arrowok="t"/>
            </v:shape>
          </v:group>
        </w:pict>
      </w:r>
      <w:r>
        <w:rPr>
          <w:sz w:val="20"/>
        </w:rPr>
      </w:r>
    </w:p>
    <w:p>
      <w:pPr>
        <w:pStyle w:val="BodyText"/>
        <w:rPr>
          <w:sz w:val="20"/>
        </w:rPr>
      </w:pPr>
    </w:p>
    <w:p>
      <w:pPr>
        <w:pStyle w:val="BodyText"/>
        <w:rPr>
          <w:sz w:val="20"/>
        </w:rPr>
      </w:pPr>
    </w:p>
    <w:p>
      <w:pPr>
        <w:pStyle w:val="BodyText"/>
        <w:rPr>
          <w:sz w:val="20"/>
        </w:rPr>
      </w:pPr>
    </w:p>
    <w:p>
      <w:pPr>
        <w:pStyle w:val="BodyText"/>
        <w:spacing w:line="501" w:lineRule="auto" w:before="165"/>
        <w:ind w:left="119" w:right="106"/>
        <w:jc w:val="both"/>
      </w:pPr>
      <w:r>
        <w:rPr>
          <w:w w:val="110"/>
        </w:rPr>
        <w:t>Through this analysis an anomaly was discovered in the Disappearing Positive Methodology where on at least 1 occasions, there is a change in the chain of command. The IP is aware of at least 1 foreign footballer playing in the Russian League had that benefit of a SAVE order. That SAVE decision was made by Minister Mutko and not Deputy Minister Nagornykh.</w:t>
      </w:r>
    </w:p>
    <w:p>
      <w:pPr>
        <w:pStyle w:val="BodyText"/>
      </w:pPr>
    </w:p>
    <w:p>
      <w:pPr>
        <w:pStyle w:val="BodyText"/>
        <w:spacing w:before="10"/>
        <w:rPr>
          <w:sz w:val="27"/>
        </w:rPr>
      </w:pPr>
    </w:p>
    <w:p>
      <w:pPr>
        <w:pStyle w:val="BodyText"/>
        <w:spacing w:line="501" w:lineRule="auto"/>
        <w:ind w:left="119" w:right="106"/>
        <w:jc w:val="both"/>
      </w:pPr>
      <w:r>
        <w:rPr>
          <w:w w:val="110"/>
        </w:rPr>
        <w:t>Email evidence available to the IP shows that the SAVE decision for the football players was the final decision of "VL." VL is the first name and patronymic</w:t>
      </w:r>
      <w:r>
        <w:rPr>
          <w:spacing w:val="66"/>
          <w:w w:val="110"/>
        </w:rPr>
        <w:t> </w:t>
      </w:r>
      <w:r>
        <w:rPr>
          <w:w w:val="110"/>
        </w:rPr>
        <w:t>name</w:t>
      </w:r>
      <w:r>
        <w:rPr>
          <w:spacing w:val="-3"/>
          <w:w w:val="110"/>
        </w:rPr>
        <w:t> </w:t>
      </w:r>
      <w:r>
        <w:rPr>
          <w:w w:val="110"/>
        </w:rPr>
        <w:t>initials</w:t>
      </w:r>
      <w:r>
        <w:rPr>
          <w:spacing w:val="-5"/>
          <w:w w:val="110"/>
        </w:rPr>
        <w:t> </w:t>
      </w:r>
      <w:r>
        <w:rPr>
          <w:w w:val="110"/>
        </w:rPr>
        <w:t>of</w:t>
      </w:r>
      <w:r>
        <w:rPr>
          <w:spacing w:val="-3"/>
          <w:w w:val="110"/>
        </w:rPr>
        <w:t> </w:t>
      </w:r>
      <w:r>
        <w:rPr>
          <w:w w:val="110"/>
        </w:rPr>
        <w:t>the</w:t>
      </w:r>
      <w:r>
        <w:rPr>
          <w:spacing w:val="-5"/>
          <w:w w:val="110"/>
        </w:rPr>
        <w:t> </w:t>
      </w:r>
      <w:r>
        <w:rPr>
          <w:w w:val="110"/>
        </w:rPr>
        <w:t>Minister</w:t>
      </w:r>
      <w:r>
        <w:rPr>
          <w:spacing w:val="-3"/>
          <w:w w:val="110"/>
        </w:rPr>
        <w:t> </w:t>
      </w:r>
      <w:r>
        <w:rPr>
          <w:w w:val="110"/>
        </w:rPr>
        <w:t>of</w:t>
      </w:r>
      <w:r>
        <w:rPr>
          <w:spacing w:val="-3"/>
          <w:w w:val="110"/>
        </w:rPr>
        <w:t> </w:t>
      </w:r>
      <w:r>
        <w:rPr>
          <w:w w:val="110"/>
        </w:rPr>
        <w:t>Sport,</w:t>
      </w:r>
      <w:r>
        <w:rPr>
          <w:spacing w:val="-3"/>
          <w:w w:val="110"/>
        </w:rPr>
        <w:t> </w:t>
      </w:r>
      <w:r>
        <w:rPr>
          <w:w w:val="110"/>
        </w:rPr>
        <w:t>Vitaly</w:t>
      </w:r>
      <w:r>
        <w:rPr>
          <w:spacing w:val="-3"/>
          <w:w w:val="110"/>
        </w:rPr>
        <w:t> </w:t>
      </w:r>
      <w:r>
        <w:rPr>
          <w:w w:val="110"/>
        </w:rPr>
        <w:t>Leontiyevich</w:t>
      </w:r>
      <w:r>
        <w:rPr>
          <w:spacing w:val="-9"/>
          <w:w w:val="110"/>
        </w:rPr>
        <w:t> </w:t>
      </w:r>
      <w:r>
        <w:rPr>
          <w:w w:val="110"/>
        </w:rPr>
        <w:t>Mutko,</w:t>
      </w:r>
      <w:r>
        <w:rPr>
          <w:spacing w:val="-5"/>
          <w:w w:val="110"/>
        </w:rPr>
        <w:t> </w:t>
      </w:r>
      <w:r>
        <w:rPr>
          <w:w w:val="110"/>
        </w:rPr>
        <w:t>who</w:t>
      </w:r>
      <w:r>
        <w:rPr>
          <w:spacing w:val="-5"/>
          <w:w w:val="110"/>
        </w:rPr>
        <w:t> </w:t>
      </w:r>
      <w:r>
        <w:rPr>
          <w:w w:val="110"/>
        </w:rPr>
        <w:t>is</w:t>
      </w:r>
      <w:r>
        <w:rPr>
          <w:spacing w:val="-3"/>
          <w:w w:val="110"/>
        </w:rPr>
        <w:t> </w:t>
      </w:r>
      <w:r>
        <w:rPr>
          <w:w w:val="110"/>
        </w:rPr>
        <w:t>also</w:t>
      </w:r>
      <w:r>
        <w:rPr>
          <w:spacing w:val="-5"/>
          <w:w w:val="110"/>
        </w:rPr>
        <w:t> </w:t>
      </w:r>
      <w:r>
        <w:rPr>
          <w:w w:val="110"/>
        </w:rPr>
        <w:t>the President of the Russian Football</w:t>
      </w:r>
      <w:r>
        <w:rPr>
          <w:spacing w:val="-41"/>
          <w:w w:val="110"/>
        </w:rPr>
        <w:t> </w:t>
      </w:r>
      <w:r>
        <w:rPr>
          <w:w w:val="110"/>
        </w:rPr>
        <w:t>Federation.</w:t>
      </w:r>
    </w:p>
    <w:p>
      <w:pPr>
        <w:pStyle w:val="BodyText"/>
      </w:pPr>
    </w:p>
    <w:p>
      <w:pPr>
        <w:pStyle w:val="BodyText"/>
        <w:spacing w:before="4"/>
        <w:rPr>
          <w:sz w:val="27"/>
        </w:rPr>
      </w:pPr>
    </w:p>
    <w:p>
      <w:pPr>
        <w:pStyle w:val="BodyText"/>
        <w:spacing w:line="504" w:lineRule="auto"/>
        <w:ind w:left="119" w:right="108"/>
        <w:jc w:val="both"/>
      </w:pPr>
      <w:r>
        <w:rPr>
          <w:w w:val="110"/>
        </w:rPr>
        <w:t>The IP investigative team has been able to follow many examples of communication chains advising of the initial positive screen results. The  Athlete</w:t>
      </w:r>
    </w:p>
    <w:p>
      <w:pPr>
        <w:spacing w:after="0" w:line="504" w:lineRule="auto"/>
        <w:jc w:val="both"/>
        <w:sectPr>
          <w:pgSz w:w="12240" w:h="15840"/>
          <w:pgMar w:header="0" w:footer="707" w:top="1460" w:bottom="900" w:left="1700" w:right="1680"/>
        </w:sectPr>
      </w:pPr>
    </w:p>
    <w:p>
      <w:pPr>
        <w:pStyle w:val="BodyText"/>
        <w:spacing w:line="504" w:lineRule="auto" w:before="16"/>
        <w:ind w:left="119" w:right="107"/>
        <w:jc w:val="both"/>
      </w:pPr>
      <w:r>
        <w:rPr>
          <w:w w:val="110"/>
        </w:rPr>
        <w:t>Profile is communicated to the Liaison person for athlete identification, then onto Deputy Minister Nagornykh for a SAVE or QUARANTINE order. An order is issued to the Moscow Laboratory. Using the information available in these communication chains, the IP conducted a cross check with the information available in ADAMS. The ADAMS results in the majority of cases show that the sample was recorded as a "negative finding." A total of 89% of positive test results have been entered as negative findings.</w:t>
      </w:r>
    </w:p>
    <w:p>
      <w:pPr>
        <w:pStyle w:val="BodyText"/>
        <w:rPr>
          <w:sz w:val="20"/>
        </w:rPr>
      </w:pPr>
    </w:p>
    <w:p>
      <w:pPr>
        <w:pStyle w:val="BodyText"/>
        <w:spacing w:before="6"/>
        <w:rPr>
          <w:sz w:val="27"/>
        </w:rPr>
      </w:pPr>
      <w:r>
        <w:rPr/>
        <w:pict>
          <v:group style="position:absolute;margin-left:90.535004pt;margin-top:17.782286pt;width:423.85pt;height:269.8pt;mso-position-horizontal-relative:page;mso-position-vertical-relative:paragraph;z-index:1480;mso-wrap-distance-left:0;mso-wrap-distance-right:0" coordorigin="1811,356" coordsize="8477,5396">
            <v:shape style="position:absolute;left:2412;top:2375;width:4211;height:2868" type="#_x0000_t75" stroked="false">
              <v:imagedata r:id="rId59" o:title=""/>
            </v:shape>
            <v:shape style="position:absolute;left:4992;top:4079;width:372;height:146" type="#_x0000_t75" stroked="false">
              <v:imagedata r:id="rId60" o:title=""/>
            </v:shape>
            <v:shape style="position:absolute;left:3998;top:2779;width:75;height:135" coordorigin="3998,2779" coordsize="75,135" path="m4073,2906l4003,2906,4003,2913,4073,2913,4073,2906xm4054,2903l4022,2903,4020,2906,4056,2906,4054,2903xm4046,2800l4025,2800,4030,2805,4030,2896,4027,2899,4027,2901,4025,2903,4051,2903,4046,2899,4046,2800xm4046,2779l4042,2779,3998,2805,4003,2812,4013,2807,4015,2805,4020,2803,4022,2800,4046,2800,4046,2779xe" filled="true" fillcolor="#000000" stroked="false">
              <v:path arrowok="t"/>
              <v:fill type="solid"/>
            </v:shape>
            <v:shape style="position:absolute;left:4109;top:2779;width:254;height:146" type="#_x0000_t75" stroked="false">
              <v:imagedata r:id="rId61" o:title=""/>
            </v:shape>
            <v:shape style="position:absolute;left:3334;top:674;width:214;height:240" coordorigin="3334,674" coordsize="214,240" path="m3406,674l3334,674,3334,686,3341,688,3346,688,3350,693,3350,695,3353,700,3353,887,3350,890,3350,892,3348,895,3348,897,3346,897,3343,899,3338,902,3334,902,3334,914,3401,914,3401,902,3394,899,3391,899,3384,892,3384,887,3382,885,3381,782,3381,772,3381,752,3379,734,3440,734,3406,674xm3440,734l3382,734,3386,742,3391,752,3397,763,3406,777,3482,914,3528,914,3528,842,3499,842,3494,832,3490,820,3482,811,3475,799,3470,789,3468,782,3440,734xm3540,688l3490,688,3494,693,3497,693,3497,695,3499,698,3499,782,3500,799,3500,821,3502,842,3528,842,3528,705,3530,703,3530,695,3535,691,3538,691,3540,688xm3547,674l3480,674,3480,686,3485,688,3542,688,3547,686,3547,674xe" filled="true" fillcolor="#000000" stroked="false">
              <v:path arrowok="t"/>
              <v:fill type="solid"/>
            </v:shape>
            <v:shape style="position:absolute;left:3574;top:739;width:192;height:178" coordorigin="3574,739" coordsize="192,178" path="m3641,739l3574,739,3574,751,3576,751,3578,753,3581,753,3588,760,3588,765,3590,767,3590,868,3593,880,3595,890,3598,897,3605,904,3619,914,3629,916,3650,916,3660,914,3667,911,3677,907,3686,899,3696,890,3658,890,3653,887,3648,883,3646,878,3643,875,3643,871,3641,863,3641,739xm3746,739l3679,739,3679,751,3684,753,3686,753,3691,758,3694,758,3694,763,3696,767,3696,863,3694,871,3691,875,3684,883,3670,890,3698,890,3698,916,3718,916,3766,914,3766,902,3761,902,3756,899,3754,897,3751,897,3751,895,3749,892,3749,890,3746,885,3746,739xe" filled="true" fillcolor="#000000" stroked="false">
              <v:path arrowok="t"/>
              <v:fill type="solid"/>
            </v:shape>
            <v:shape style="position:absolute;left:3787;top:736;width:300;height:178" coordorigin="3787,736" coordsize="300,178" path="m3869,899l3797,899,3790,902,3790,914,3874,914,3874,902,3869,899xm3984,765l3902,765,3905,767,3905,770,3907,770,3910,775,3910,779,3912,782,3912,796,3914,801,3914,873,3912,883,3912,890,3910,895,3907,897,3907,899,3902,899,3898,902,3898,914,3979,914,3979,902,3977,902,3972,899,3970,897,3970,895,3967,895,3967,890,3965,887,3965,784,3967,782,3967,779,3979,767,3982,767,3984,765xm4082,899l4008,899,4003,902,4003,914,4087,914,4087,902,4085,902,4082,899xm3859,736l3835,736,3787,739,3787,751,3794,751,3799,755,3802,755,3806,760,3806,770,3809,775,3809,873,3806,883,3806,890,3804,892,3802,897,3799,899,3866,899,3862,895,3859,890,3859,782,3864,777,3866,772,3886,763,3857,763,3859,736xm4066,763l4003,763,4006,765,4010,767,4013,770,4013,772,4018,782,4018,796,4020,803,4020,873,4018,883,4018,890,4015,895,4013,897,4013,899,4080,899,4078,897,4075,897,4073,895,4073,890,4070,887,4070,787,4068,779,4066,770,4066,763xm3929,736l3905,736,3895,739,3888,741,3878,746,3869,753,3857,763,3895,763,3898,765,3960,765,3958,758,3955,753,3950,748,3946,746,3941,741,3936,739,3929,736xm4030,736l4010,736,4001,739,3991,743,3982,746,3972,755,3960,765,3986,765,3989,763,4066,763,4061,755,4058,751,4054,746,4049,743,4042,741,4037,739,4030,736xe" filled="true" fillcolor="#000000" stroked="false">
              <v:path arrowok="t"/>
              <v:fill type="solid"/>
            </v:shape>
            <v:shape style="position:absolute;left:4106;top:662;width:188;height:255" coordorigin="4106,662" coordsize="188,255" path="m4176,662l4154,662,4106,664,4106,676,4111,676,4114,679,4116,679,4123,686,4123,688,4126,693,4126,914,4150,916,4162,907,4258,907,4266,901,4270,897,4198,897,4188,895,4178,880,4176,868,4176,789,4178,784,4181,777,4188,770,4193,767,4200,765,4205,763,4282,763,4280,760,4176,760,4176,662xm4258,907l4162,907,4173,911,4185,914,4198,916,4212,916,4225,916,4237,914,4248,911,4258,907xm4282,763l4219,763,4229,767,4234,779,4237,789,4239,801,4240,815,4241,832,4240,846,4239,859,4237,870,4234,880,4226,892,4219,897,4270,897,4274,894,4280,885,4284,875,4289,864,4292,852,4293,839,4294,825,4293,803,4290,785,4286,770,4282,763xm4231,736l4217,736,4212,739,4205,741,4200,743,4195,748,4190,751,4176,760,4280,760,4279,758,4270,748,4259,742,4246,737,4231,736xe" filled="true" fillcolor="#000000" stroked="false">
              <v:path arrowok="t"/>
              <v:fill type="solid"/>
            </v:shape>
            <v:shape style="position:absolute;left:4327;top:736;width:334;height:180" type="#_x0000_t75" stroked="false">
              <v:imagedata r:id="rId62" o:title=""/>
            </v:shape>
            <v:shape style="position:absolute;left:4764;top:662;width:329;height:254" type="#_x0000_t75" stroked="false">
              <v:imagedata r:id="rId63" o:title=""/>
            </v:shape>
            <v:shape style="position:absolute;left:5165;top:674;width:218;height:240" type="#_x0000_t75" stroked="false">
              <v:imagedata r:id="rId64" o:title=""/>
            </v:shape>
            <v:shape style="position:absolute;left:5414;top:669;width:1956;height:324" type="#_x0000_t75" stroked="false">
              <v:imagedata r:id="rId65" o:title=""/>
            </v:shape>
            <v:shape style="position:absolute;left:7466;top:674;width:391;height:242" type="#_x0000_t75" stroked="false">
              <v:imagedata r:id="rId66" o:title=""/>
            </v:shape>
            <v:shape style="position:absolute;left:7891;top:736;width:140;height:180" coordorigin="7891,736" coordsize="140,180" path="m7915,866l7891,866,7891,909,7909,912,7925,914,7941,916,7956,916,7978,916,7985,914,7994,911,8009,902,8016,899,8018,897,7942,897,7934,895,7927,890,7922,885,7918,875,7915,866xm7994,736l7970,736,7959,737,7948,738,7939,740,7930,743,7920,746,7910,753,7903,760,7898,767,7896,777,7896,799,7898,803,7901,811,7903,815,7908,818,7918,827,7922,830,7930,832,7934,837,7942,839,7954,844,7961,849,7970,854,7973,859,7978,863,7980,868,7980,880,7978,887,7973,890,7968,895,7961,897,8018,897,8021,892,8023,885,8028,880,8030,871,8030,854,8028,844,8023,839,8021,832,8016,825,8002,815,7992,811,7968,801,7961,799,7956,796,7949,789,7949,787,7946,782,7946,765,7951,760,7956,758,7963,755,8028,755,8028,741,8014,739,8004,739,7994,736xm8028,755l7980,755,7985,758,7987,760,7992,763,7994,765,7999,775,8004,782,8028,782,8028,755xe" filled="true" fillcolor="#000000" stroked="false">
              <v:path arrowok="t"/>
              <v:fill type="solid"/>
            </v:shape>
            <v:shape style="position:absolute;left:8052;top:669;width:89;height:245" coordorigin="8052,669" coordsize="89,245" path="m8119,669l8074,669,8074,712,8119,712,8119,669xm8134,899l8059,899,8054,902,8054,914,8141,914,8141,902,8136,902,8134,899xm8122,736l8100,736,8052,739,8052,751,8057,751,8059,753,8062,753,8064,755,8066,755,8069,758,8069,760,8071,763,8071,890,8069,892,8066,897,8064,899,8131,899,8131,897,8129,897,8126,895,8126,892,8124,892,8124,880,8122,878,8122,736xe" filled="true" fillcolor="#000000" stroked="false">
              <v:path arrowok="t"/>
              <v:fill type="solid"/>
            </v:shape>
            <v:shape style="position:absolute;left:8162;top:695;width:128;height:221" coordorigin="8162,695" coordsize="128,221" path="m8234,760l8184,760,8184,859,8185,872,8186,884,8190,894,8196,902,8203,908,8212,913,8222,915,8234,916,8244,916,8251,914,8261,911,8268,909,8278,902,8290,895,8286,890,8249,890,8244,887,8239,883,8237,878,8234,871,8234,760xm8278,880l8275,883,8270,885,8268,885,8266,887,8263,887,8261,890,8286,890,8278,880xm8234,695l8191,695,8191,712,8189,719,8189,724,8184,734,8184,739,8179,741,8174,746,8167,748,8162,748,8162,760,8285,760,8285,739,8234,739,8234,695xe" filled="true" fillcolor="#000000" stroked="false">
              <v:path arrowok="t"/>
              <v:fill type="solid"/>
            </v:shape>
            <v:shape style="position:absolute;left:8297;top:669;width:89;height:245" coordorigin="8297,669" coordsize="89,245" path="m8364,669l8318,669,8318,712,8364,712,8364,669xm8378,899l8304,899,8299,902,8299,914,8386,914,8386,902,8381,902,8378,899xm8366,736l8345,736,8297,739,8297,751,8302,751,8304,753,8306,753,8309,755,8311,755,8314,758,8314,760,8316,763,8316,890,8314,892,8311,897,8309,899,8376,899,8376,897,8374,897,8371,895,8371,892,8369,892,8369,885,8366,880,8366,736xe" filled="true" fillcolor="#000000" stroked="false">
              <v:path arrowok="t"/>
              <v:fill type="solid"/>
            </v:shape>
            <v:shape style="position:absolute;left:8400;top:739;width:190;height:178" coordorigin="8400,739" coordsize="190,178" path="m8484,751l8405,751,8410,755,8412,755,8414,758,8417,763,8419,765,8422,772,8424,782,8472,916,8506,916,8527,866,8503,866,8477,787,8474,777,8472,770,8472,760,8479,753,8484,751xm8590,739l8522,739,8522,751,8527,751,8532,753,8534,755,8537,760,8539,763,8539,772,8537,777,8537,782,8534,787,8534,791,8532,796,8503,866,8527,866,8558,794,8563,784,8568,777,8575,763,8578,760,8578,758,8580,755,8582,755,8585,753,8587,753,8590,751,8590,739xm8489,739l8400,739,8400,751,8489,751,8489,739xe" filled="true" fillcolor="#000000" stroked="false">
              <v:path arrowok="t"/>
              <v:fill type="solid"/>
            </v:shape>
            <v:shape style="position:absolute;left:8606;top:736;width:161;height:180" coordorigin="8606,736" coordsize="161,180" path="m8702,736l8693,736,8679,737,8667,738,8657,741,8647,746,8638,752,8630,760,8622,768,8616,777,8612,788,8609,800,8607,813,8606,827,8608,848,8612,865,8619,881,8628,895,8639,904,8653,911,8669,915,8688,916,8699,916,8709,914,8719,912,8729,909,8736,903,8745,897,8753,890,8686,890,8676,885,8669,875,8664,866,8660,855,8658,842,8657,827,8767,827,8767,808,8657,808,8659,796,8661,785,8664,776,8669,770,8674,760,8681,755,8746,755,8741,751,8734,746,8712,739,8702,736xm8748,866l8741,875,8726,885,8719,887,8710,890,8753,890,8762,880,8748,866xm8746,755l8700,755,8705,760,8710,767,8713,775,8715,785,8716,796,8717,808,8767,808,8767,800,8762,782,8753,767,8750,760,8746,755xe" filled="true" fillcolor="#000000" stroked="false">
              <v:path arrowok="t"/>
              <v:fill type="solid"/>
            </v:shape>
            <v:shape style="position:absolute;left:3178;top:1091;width:156;height:245" type="#_x0000_t75" stroked="false">
              <v:imagedata r:id="rId67" o:title=""/>
            </v:shape>
            <v:shape style="position:absolute;left:3365;top:1156;width:144;height:180" coordorigin="3365,1156" coordsize="144,180" path="m3470,1156l3451,1156,3439,1157,3428,1159,3416,1163,3406,1168,3396,1174,3387,1181,3380,1189,3374,1199,3370,1211,3367,1223,3365,1236,3365,1250,3366,1269,3369,1286,3375,1301,3384,1315,3394,1324,3407,1331,3423,1335,3442,1336,3454,1336,3466,1334,3475,1329,3483,1325,3491,1320,3500,1313,3504,1310,3446,1310,3439,1307,3432,1303,3427,1298,3422,1291,3418,1271,3418,1221,3420,1211,3420,1202,3422,1195,3425,1190,3430,1185,3432,1180,3437,1178,3439,1175,3506,1175,3506,1163,3497,1161,3490,1159,3480,1159,3470,1156xm3494,1288l3480,1303,3473,1305,3468,1307,3461,1310,3504,1310,3509,1305,3494,1288xm3506,1175l3454,1175,3458,1178,3461,1183,3466,1187,3468,1195,3470,1207,3506,1207,3506,1175xe" filled="true" fillcolor="#000000" stroked="false">
              <v:path arrowok="t"/>
              <v:fill type="solid"/>
            </v:shape>
            <v:shape style="position:absolute;left:3528;top:1156;width:149;height:178" coordorigin="3528,1156" coordsize="149,178" path="m3598,1156l3576,1156,3528,1159,3528,1171,3533,1171,3538,1173,3540,1175,3542,1175,3542,1178,3545,1180,3545,1183,3547,1187,3547,1303,3545,1305,3545,1312,3542,1317,3540,1319,3535,1319,3530,1322,3530,1334,3617,1334,3617,1322,3610,1322,3607,1319,3602,1317,3600,1315,3600,1310,3598,1305,3598,1207,3600,1204,3600,1199,3602,1197,3602,1195,3607,1192,3614,1185,3619,1183,3677,1183,3677,1180,3595,1180,3598,1156xm3677,1183l3629,1183,3634,1185,3641,1192,3646,1207,3677,1207,3677,1183xm3670,1156l3643,1156,3624,1161,3614,1166,3605,1173,3598,1180,3677,1180,3677,1159,3670,1156xe" filled="true" fillcolor="#000000" stroked="false">
              <v:path arrowok="t"/>
              <v:fill type="solid"/>
            </v:shape>
            <v:shape style="position:absolute;left:3698;top:1156;width:161;height:180" coordorigin="3698,1156" coordsize="161,180" path="m3794,1156l3785,1156,3771,1157,3759,1158,3749,1161,3739,1166,3730,1172,3722,1180,3715,1188,3710,1197,3705,1208,3702,1220,3699,1233,3698,1247,3700,1268,3704,1285,3711,1301,3720,1315,3731,1324,3745,1331,3761,1335,3780,1336,3791,1336,3801,1334,3811,1332,3821,1329,3828,1323,3837,1317,3845,1310,3780,1310,3768,1305,3761,1295,3756,1286,3752,1275,3750,1262,3749,1247,3859,1247,3859,1228,3751,1228,3751,1211,3754,1197,3761,1190,3766,1180,3773,1175,3838,1175,3833,1171,3826,1166,3804,1159,3794,1156xm3840,1286l3833,1295,3818,1305,3811,1307,3802,1310,3845,1310,3854,1300,3840,1286xm3838,1175l3792,1175,3797,1180,3802,1187,3805,1195,3807,1205,3808,1216,3809,1228,3859,1228,3859,1220,3854,1202,3845,1187,3842,1180,3838,1175xe" filled="true" fillcolor="#000000" stroked="false">
              <v:path arrowok="t"/>
              <v:fill type="solid"/>
            </v:shape>
            <v:shape style="position:absolute;left:3889;top:1156;width:161;height:180" coordorigin="3889,1156" coordsize="161,180" path="m3985,1156l3973,1156,3961,1157,3950,1158,3939,1161,3930,1166,3920,1172,3912,1180,3905,1188,3899,1197,3894,1208,3891,1220,3890,1233,3889,1247,3891,1268,3894,1285,3900,1301,3908,1315,3920,1324,3934,1331,3951,1335,3971,1336,3985,1336,3997,1334,4009,1329,4018,1323,4027,1317,4036,1310,3968,1310,3956,1305,3949,1295,3945,1286,3942,1275,3940,1262,3940,1247,4050,1247,4050,1233,4049,1228,3940,1228,3942,1211,3944,1197,3949,1190,3954,1180,3961,1175,4028,1175,4021,1171,4016,1166,4002,1161,3992,1159,3985,1156xm4031,1286l4021,1295,4007,1305,3992,1310,4036,1310,4045,1300,4031,1286xm4028,1175l3980,1175,3988,1180,3992,1187,3996,1195,3998,1205,3999,1216,4000,1228,4049,1228,4048,1221,4043,1202,4040,1195,4036,1187,4033,1180,4028,1175xe" filled="true" fillcolor="#000000" stroked="false">
              <v:path arrowok="t"/>
              <v:fill type="solid"/>
            </v:shape>
            <v:shape style="position:absolute;left:4075;top:1156;width:195;height:178" coordorigin="4075,1156" coordsize="195,178" path="m4157,1319l4085,1319,4078,1322,4078,1334,4162,1334,4162,1322,4157,1319xm4262,1319l4190,1319,4183,1322,4183,1334,4270,1334,4270,1322,4265,1322,4262,1319xm4147,1156l4126,1156,4075,1159,4075,1171,4082,1171,4087,1175,4090,1175,4092,1178,4092,1180,4094,1183,4094,1310,4092,1312,4090,1317,4087,1319,4154,1319,4150,1315,4147,1310,4147,1300,4145,1293,4145,1209,4147,1204,4150,1197,4154,1192,4174,1183,4145,1183,4147,1156xm4212,1156l4188,1156,4183,1159,4176,1161,4171,1163,4166,1168,4159,1171,4147,1183,4186,1183,4188,1185,4190,1185,4190,1187,4193,1187,4195,1190,4195,1192,4198,1195,4198,1202,4200,1204,4200,1310,4198,1315,4193,1319,4260,1319,4255,1315,4255,1312,4253,1310,4253,1303,4250,1298,4250,1199,4248,1192,4248,1185,4243,1178,4241,1173,4231,1163,4226,1161,4212,1156xe" filled="true" fillcolor="#000000" stroked="false">
              <v:path arrowok="t"/>
              <v:fill type="solid"/>
            </v:shape>
            <v:shape style="position:absolute;left:4376;top:1094;width:221;height:240" coordorigin="4376,1094" coordsize="221,240" path="m4504,1094l4376,1094,4376,1106,4381,1106,4386,1111,4388,1111,4393,1115,4393,1118,4396,1120,4396,1307,4393,1310,4393,1312,4388,1317,4386,1317,4381,1322,4376,1322,4376,1334,4470,1334,4470,1322,4463,1319,4458,1319,4453,1315,4453,1312,4451,1307,4451,1233,4532,1233,4525,1228,4518,1226,4518,1223,4537,1214,4541,1211,4451,1211,4451,1115,4552,1115,4544,1108,4537,1106,4530,1101,4523,1099,4504,1094xm4532,1233l4472,1233,4475,1235,4477,1235,4480,1240,4484,1243,4494,1262,4506,1293,4513,1305,4519,1316,4525,1326,4530,1334,4597,1334,4597,1322,4590,1322,4576,1307,4549,1255,4540,1240,4532,1233xm4552,1115l4482,1115,4494,1118,4501,1127,4506,1135,4511,1147,4511,1175,4508,1183,4508,1187,4506,1192,4501,1197,4499,1202,4489,1207,4475,1211,4541,1211,4544,1209,4556,1197,4559,1187,4564,1180,4566,1171,4566,1149,4564,1142,4564,1135,4561,1130,4556,1123,4554,1118,4552,1115xe" filled="true" fillcolor="#000000" stroked="false">
              <v:path arrowok="t"/>
              <v:fill type="solid"/>
            </v:shape>
            <v:shape style="position:absolute;left:4615;top:1156;width:161;height:180" coordorigin="4615,1156" coordsize="161,180" path="m4711,1156l4702,1156,4689,1157,4677,1158,4666,1161,4656,1166,4647,1172,4639,1180,4632,1188,4627,1197,4622,1208,4619,1220,4616,1233,4615,1247,4617,1268,4621,1285,4627,1301,4637,1315,4648,1324,4661,1331,4678,1335,4697,1336,4708,1336,4718,1334,4728,1332,4738,1329,4745,1323,4754,1317,4762,1310,4697,1310,4685,1305,4678,1295,4673,1286,4669,1275,4666,1262,4666,1247,4776,1247,4776,1228,4668,1228,4668,1211,4670,1197,4678,1190,4682,1180,4690,1175,4754,1175,4750,1171,4742,1166,4721,1159,4711,1156xm4757,1286l4750,1295,4735,1305,4728,1307,4718,1310,4762,1310,4771,1300,4757,1286xm4754,1175l4709,1175,4714,1180,4718,1187,4722,1195,4724,1205,4725,1216,4726,1228,4776,1228,4776,1220,4771,1202,4766,1195,4764,1187,4759,1180,4754,1175xe" filled="true" fillcolor="#000000" stroked="false">
              <v:path arrowok="t"/>
              <v:fill type="solid"/>
            </v:shape>
            <v:shape style="position:absolute;left:4805;top:1156;width:140;height:180" coordorigin="4805,1156" coordsize="140,180" path="m4829,1286l4805,1286,4805,1329,4822,1332,4839,1334,4855,1336,4870,1336,4891,1336,4901,1334,4908,1331,4918,1327,4922,1322,4930,1319,4931,1317,4855,1317,4848,1315,4841,1310,4836,1305,4831,1295,4829,1286xm4908,1156l4870,1156,4855,1159,4846,1163,4834,1166,4824,1173,4819,1180,4812,1187,4810,1197,4810,1219,4812,1223,4814,1231,4831,1247,4838,1250,4843,1252,4850,1257,4855,1259,4867,1264,4874,1269,4884,1274,4891,1281,4891,1283,4894,1288,4894,1300,4891,1307,4886,1310,4882,1315,4874,1317,4931,1317,4939,1305,4942,1300,4944,1291,4944,1274,4942,1264,4939,1259,4930,1245,4915,1235,4896,1226,4884,1221,4874,1219,4870,1216,4867,1211,4862,1209,4862,1207,4860,1202,4860,1190,4862,1185,4870,1178,4877,1175,4942,1175,4942,1161,4927,1159,4918,1159,4908,1156xm4942,1175l4894,1175,4898,1178,4901,1180,4906,1183,4908,1185,4910,1190,4915,1195,4918,1202,4942,1202,4942,1175xe" filled="true" fillcolor="#000000" stroked="false">
              <v:path arrowok="t"/>
              <v:fill type="solid"/>
            </v:shape>
            <v:shape style="position:absolute;left:4966;top:1159;width:195;height:178" coordorigin="4966,1159" coordsize="195,178" path="m5035,1159l4966,1159,4966,1171,4970,1171,4973,1173,4975,1173,4975,1175,4978,1175,4978,1178,4980,1178,4980,1180,4982,1180,4982,1192,4985,1195,4985,1300,4990,1310,4992,1317,4997,1324,5004,1329,5014,1334,5023,1336,5045,1336,5052,1334,5062,1331,5069,1327,5078,1319,5090,1310,5050,1310,5042,1303,5040,1298,5038,1295,5035,1291,5035,1159xm5141,1159l5071,1159,5071,1171,5076,1173,5081,1173,5088,1180,5088,1190,5090,1195,5090,1283,5088,1291,5086,1295,5081,1300,5062,1310,5093,1310,5090,1336,5112,1336,5160,1334,5160,1322,5153,1322,5148,1317,5146,1317,5143,1315,5143,1312,5141,1310,5141,1159xe" filled="true" fillcolor="#000000" stroked="false">
              <v:path arrowok="t"/>
              <v:fill type="solid"/>
            </v:shape>
            <v:shape style="position:absolute;left:5179;top:1082;width:89;height:252" coordorigin="5179,1082" coordsize="89,252" path="m5261,1319l5186,1319,5184,1322,5182,1322,5182,1334,5268,1334,5268,1322,5261,1319xm5249,1082l5227,1082,5179,1084,5179,1096,5184,1096,5186,1099,5189,1099,5191,1101,5194,1101,5196,1103,5196,1108,5198,1111,5198,1307,5196,1310,5196,1315,5194,1315,5194,1317,5191,1317,5189,1319,5256,1319,5254,1315,5254,1312,5251,1310,5251,1305,5249,1303,5249,1082xe" filled="true" fillcolor="#000000" stroked="false">
              <v:path arrowok="t"/>
              <v:fill type="solid"/>
            </v:shape>
            <v:shape style="position:absolute;left:5287;top:1115;width:128;height:221" coordorigin="5287,1115" coordsize="128,221" path="m5359,1180l5309,1180,5309,1279,5310,1292,5312,1304,5317,1314,5323,1322,5330,1328,5339,1333,5350,1335,5362,1336,5371,1336,5378,1334,5388,1331,5395,1329,5414,1315,5411,1310,5374,1310,5366,1303,5364,1298,5362,1291,5362,1283,5359,1274,5359,1180xm5405,1300l5402,1303,5398,1305,5395,1305,5393,1307,5390,1307,5388,1310,5411,1310,5405,1300xm5359,1115l5318,1115,5318,1132,5316,1139,5316,1144,5309,1159,5302,1166,5294,1168,5287,1168,5287,1180,5410,1180,5410,1159,5359,1159,5359,1115xe" filled="true" fillcolor="#000000" stroked="false">
              <v:path arrowok="t"/>
              <v:fill type="solid"/>
            </v:shape>
            <v:shape style="position:absolute;left:5426;top:1156;width:140;height:180" coordorigin="5426,1156" coordsize="140,180" path="m5450,1286l5426,1286,5426,1329,5444,1332,5461,1334,5477,1336,5494,1336,5513,1336,5532,1331,5546,1322,5551,1319,5553,1317,5479,1317,5470,1315,5465,1310,5458,1305,5453,1295,5450,1286xm5532,1156l5491,1156,5479,1159,5467,1163,5455,1166,5434,1187,5431,1197,5431,1214,5436,1223,5438,1231,5441,1235,5446,1238,5455,1247,5465,1252,5472,1257,5479,1259,5508,1274,5510,1279,5515,1283,5515,1300,5513,1307,5508,1310,5503,1315,5498,1317,5553,1317,5561,1305,5563,1300,5566,1291,5566,1274,5563,1264,5561,1259,5551,1245,5530,1231,5506,1221,5498,1219,5494,1216,5484,1207,5484,1202,5482,1199,5482,1190,5484,1185,5489,1180,5498,1175,5563,1175,5563,1161,5551,1159,5539,1159,5532,1156xm5563,1175l5518,1175,5520,1178,5525,1180,5527,1183,5532,1185,5537,1195,5539,1202,5563,1202,5563,1175xe" filled="true" fillcolor="#000000" stroked="false">
              <v:path arrowok="t"/>
              <v:fill type="solid"/>
            </v:shape>
            <v:shape style="position:absolute;left:5674;top:1094;width:178;height:240" coordorigin="5674,1094" coordsize="178,240" path="m5849,1094l5674,1094,5674,1106,5678,1106,5683,1108,5686,1111,5688,1111,5688,1113,5690,1115,5690,1118,5693,1120,5693,1307,5690,1310,5690,1312,5688,1315,5688,1317,5686,1317,5681,1319,5678,1322,5674,1322,5674,1334,5849,1334,5850,1312,5748,1312,5748,1221,5815,1221,5815,1199,5748,1199,5748,1115,5849,1115,5849,1094xm5851,1269l5827,1269,5825,1276,5822,1281,5822,1286,5820,1291,5818,1293,5818,1295,5808,1305,5808,1307,5806,1310,5801,1310,5796,1312,5850,1312,5851,1269xm5815,1221l5782,1221,5791,1231,5794,1235,5794,1240,5796,1247,5815,1247,5815,1221xm5815,1173l5796,1173,5794,1180,5794,1185,5791,1190,5782,1199,5815,1199,5815,1173xm5849,1115l5801,1115,5810,1120,5813,1123,5818,1132,5820,1139,5825,1149,5849,1149,5849,1115xe" filled="true" fillcolor="#000000" stroked="false">
              <v:path arrowok="t"/>
              <v:fill type="solid"/>
            </v:shape>
            <v:shape style="position:absolute;left:5878;top:1156;width:192;height:178" coordorigin="5878,1156" coordsize="192,178" path="m5957,1319l5885,1319,5880,1322,5880,1334,5964,1334,5964,1322,5957,1319xm6065,1319l5990,1319,5986,1322,5986,1334,6070,1334,6070,1322,6067,1322,6065,1319xm5947,1156l5926,1156,5878,1159,5878,1171,5882,1171,5887,1173,5894,1180,5894,1187,5897,1190,5897,1303,5894,1305,5894,1310,5892,1312,5890,1317,5890,1319,5954,1319,5950,1315,5947,1310,5947,1204,5952,1197,5954,1192,5974,1183,5945,1183,5947,1156xm6012,1156l5990,1156,5983,1159,5978,1161,5971,1163,5966,1168,5962,1171,5954,1175,5947,1183,5986,1183,5988,1185,5990,1185,5995,1190,5995,1192,5998,1195,5998,1197,6000,1202,6000,1209,6002,1214,6002,1303,6000,1305,6000,1310,5998,1315,5995,1317,5995,1319,6062,1319,6060,1317,6058,1317,6058,1315,6055,1312,6055,1310,6053,1307,6053,1209,6050,1199,6050,1192,6046,1178,6041,1173,6038,1168,6031,1163,6026,1161,6012,1156xe" filled="true" fillcolor="#000000" stroked="false">
              <v:path arrowok="t"/>
              <v:fill type="solid"/>
            </v:shape>
            <v:shape style="position:absolute;left:6089;top:1115;width:128;height:221" coordorigin="6089,1115" coordsize="128,221" path="m6161,1180l6110,1180,6110,1279,6111,1292,6114,1304,6119,1314,6125,1322,6131,1328,6140,1333,6150,1335,6163,1336,6173,1336,6180,1334,6190,1331,6197,1329,6216,1315,6213,1310,6175,1310,6170,1305,6166,1303,6166,1298,6163,1291,6163,1283,6161,1274,6161,1180xm6206,1300l6202,1303,6199,1305,6197,1305,6194,1307,6192,1307,6190,1310,6213,1310,6206,1300xm6161,1115l6120,1115,6120,1125,6118,1132,6118,1139,6115,1144,6115,1149,6110,1159,6106,1163,6096,1168,6089,1168,6089,1180,6211,1180,6211,1159,6161,1159,6161,1115xe" filled="true" fillcolor="#000000" stroked="false">
              <v:path arrowok="t"/>
              <v:fill type="solid"/>
            </v:shape>
            <v:shape style="position:absolute;left:6230;top:1156;width:161;height:180" coordorigin="6230,1156" coordsize="161,180" path="m6326,1156l6314,1156,6302,1157,6291,1158,6281,1161,6271,1166,6261,1172,6253,1180,6246,1188,6240,1197,6235,1208,6233,1220,6231,1233,6230,1247,6232,1268,6236,1285,6243,1301,6252,1315,6263,1324,6277,1331,6293,1335,6312,1336,6326,1336,6341,1334,6350,1329,6359,1323,6368,1317,6377,1310,6310,1310,6300,1305,6293,1295,6288,1286,6284,1275,6282,1262,6281,1247,6391,1247,6391,1233,6390,1228,6281,1228,6283,1211,6286,1197,6290,1190,6298,1180,6305,1175,6370,1175,6365,1171,6358,1166,6336,1159,6326,1156xm6372,1286l6365,1295,6350,1305,6343,1307,6334,1310,6377,1310,6386,1300,6372,1286xm6370,1175l6322,1175,6329,1180,6334,1187,6337,1195,6339,1205,6340,1216,6341,1228,6390,1228,6389,1221,6389,1211,6386,1202,6377,1187,6374,1180,6370,1175xe" filled="true" fillcolor="#000000" stroked="false">
              <v:path arrowok="t"/>
              <v:fill type="solid"/>
            </v:shape>
            <v:shape style="position:absolute;left:6418;top:1156;width:149;height:178" coordorigin="6418,1156" coordsize="149,178" path="m6487,1156l6466,1156,6418,1159,6418,1171,6422,1171,6427,1173,6427,1175,6430,1175,6434,1180,6434,1190,6437,1195,6437,1293,6434,1303,6434,1310,6432,1312,6430,1317,6427,1319,6425,1319,6418,1322,6418,1334,6504,1334,6504,1322,6499,1322,6494,1319,6490,1315,6490,1310,6487,1305,6487,1204,6490,1199,6490,1197,6497,1190,6502,1187,6506,1183,6566,1183,6566,1180,6485,1180,6487,1156xm6566,1183l6518,1183,6523,1185,6526,1190,6530,1192,6535,1207,6566,1207,6566,1183xm6557,1156l6533,1156,6514,1161,6504,1166,6494,1173,6487,1180,6566,1180,6566,1159,6557,1156xe" filled="true" fillcolor="#000000" stroked="false">
              <v:path arrowok="t"/>
              <v:fill type="solid"/>
            </v:shape>
            <v:shape style="position:absolute;left:6588;top:1156;width:161;height:180" coordorigin="6588,1156" coordsize="161,180" path="m6684,1156l6672,1156,6660,1157,6649,1158,6638,1161,6629,1166,6619,1172,6611,1180,6603,1188,6598,1197,6593,1208,6590,1220,6588,1233,6588,1247,6589,1268,6593,1285,6599,1301,6607,1315,6619,1324,6633,1331,6650,1335,6670,1336,6684,1336,6696,1334,6708,1329,6717,1323,6726,1317,6735,1310,6667,1310,6658,1305,6650,1295,6644,1286,6641,1275,6639,1262,6638,1247,6749,1247,6749,1233,6748,1228,6638,1228,6641,1211,6643,1197,6648,1190,6655,1180,6662,1175,6727,1175,6720,1171,6715,1166,6694,1159,6684,1156xm6730,1286l6722,1295,6713,1300,6706,1305,6691,1310,6735,1310,6744,1300,6730,1286xm6727,1175l6679,1175,6686,1180,6691,1187,6694,1195,6697,1205,6698,1216,6698,1228,6748,1228,6746,1221,6742,1202,6739,1195,6734,1187,6732,1180,6727,1175xe" filled="true" fillcolor="#000000" stroked="false">
              <v:path arrowok="t"/>
              <v:fill type="solid"/>
            </v:shape>
            <v:shape style="position:absolute;left:6778;top:1082;width:190;height:255" coordorigin="6778,1082" coordsize="190,255" path="m6878,1156l6864,1156,6850,1157,6839,1158,6828,1161,6818,1166,6809,1172,6800,1180,6794,1188,6790,1197,6785,1208,6781,1220,6778,1233,6778,1247,6779,1269,6782,1287,6788,1302,6794,1315,6804,1324,6815,1331,6827,1335,6842,1336,6852,1336,6859,1334,6888,1319,6895,1310,6852,1310,6845,1305,6840,1293,6836,1283,6833,1271,6831,1257,6830,1240,6830,1228,6833,1216,6838,1197,6842,1187,6852,1178,6859,1175,6946,1175,6946,1161,6895,1161,6890,1159,6883,1159,6878,1156xm6946,1175l6876,1175,6883,1178,6893,1192,6895,1204,6895,1288,6890,1295,6888,1300,6869,1310,6900,1310,6898,1336,6919,1336,6967,1334,6967,1322,6960,1322,6955,1317,6953,1317,6950,1315,6950,1312,6948,1310,6948,1298,6946,1291,6946,1175xm6946,1082l6924,1082,6876,1084,6876,1096,6883,1096,6888,1101,6890,1101,6893,1103,6893,1106,6895,1108,6895,1161,6946,1161,6946,1082xe" filled="true" fillcolor="#000000" stroked="false">
              <v:path arrowok="t"/>
              <v:fill type="solid"/>
            </v:shape>
            <v:shape style="position:absolute;left:7066;top:1156;width:336;height:180" type="#_x0000_t75" stroked="false">
              <v:imagedata r:id="rId68" o:title=""/>
            </v:shape>
            <v:shape style="position:absolute;left:7510;top:1094;width:214;height:240" type="#_x0000_t75" stroked="false">
              <v:imagedata r:id="rId69" o:title=""/>
            </v:shape>
            <v:shape style="position:absolute;left:7754;top:1156;width:161;height:180" coordorigin="7754,1156" coordsize="161,180" path="m7850,1156l7841,1156,7828,1157,7816,1158,7805,1161,7795,1166,7786,1172,7778,1180,7771,1188,7766,1197,7761,1208,7758,1220,7755,1233,7754,1247,7756,1268,7760,1285,7767,1301,7776,1315,7787,1324,7801,1331,7817,1335,7836,1336,7847,1336,7857,1334,7867,1332,7877,1329,7884,1323,7893,1317,7901,1310,7836,1310,7824,1305,7817,1295,7812,1286,7808,1275,7806,1262,7805,1247,7915,1247,7915,1228,7807,1228,7807,1211,7810,1197,7817,1190,7822,1180,7829,1175,7894,1175,7889,1171,7882,1166,7860,1159,7850,1156xm7896,1286l7889,1295,7874,1305,7867,1307,7858,1310,7901,1310,7910,1300,7896,1286xm7894,1175l7848,1175,7853,1180,7858,1187,7861,1195,7863,1205,7864,1216,7865,1228,7915,1228,7915,1220,7910,1202,7906,1195,7903,1187,7898,1180,7894,1175xe" filled="true" fillcolor="#000000" stroked="false">
              <v:path arrowok="t"/>
              <v:fill type="solid"/>
            </v:shape>
            <v:shape style="position:absolute;left:7937;top:1156;width:180;height:257" coordorigin="7937,1156" coordsize="180,257" path="m8040,1156l8002,1156,7982,1161,7961,1175,7951,1190,7949,1197,7946,1207,7947,1229,7949,1238,7954,1245,7958,1255,7963,1262,7973,1267,7963,1276,7958,1279,7954,1283,7946,1298,7946,1322,7951,1331,7956,1334,7961,1339,7951,1341,7946,1348,7942,1353,7939,1358,7937,1365,7937,1379,7939,1387,7942,1391,7946,1396,7961,1406,7968,1408,7978,1411,7987,1411,7999,1413,8026,1413,8038,1412,8050,1411,8061,1409,8071,1406,8086,1401,8095,1394,8009,1394,7997,1391,7987,1387,7980,1384,7978,1377,7978,1360,7980,1355,7982,1353,7985,1348,7990,1346,8114,1346,8114,1336,8110,1324,8100,1317,8091,1312,8080,1308,8068,1306,8054,1305,7997,1305,7994,1303,7990,1303,7985,1298,7985,1283,7987,1279,7994,1274,8048,1274,8055,1272,8068,1267,8078,1259,8081,1257,8014,1257,8006,1255,8002,1247,7999,1240,7997,1229,7997,1202,7999,1192,8002,1185,8006,1178,8014,1175,8117,1175,8117,1159,8045,1159,8040,1156xm8114,1346l8057,1346,8059,1348,8064,1351,8069,1355,8069,1358,8071,1363,8071,1375,8066,1382,8052,1391,8040,1394,8095,1394,8102,1384,8110,1377,8114,1365,8114,1346xm8048,1274l7994,1274,8002,1276,8023,1276,8040,1275,8048,1274xm8117,1175l8030,1175,8035,1180,8045,1195,8047,1204,8047,1231,8045,1240,8035,1255,8030,1257,8081,1257,8086,1251,8092,1241,8096,1229,8098,1214,8098,1207,8095,1199,8090,1190,8088,1183,8086,1180,8086,1178,8117,1178,8117,1175xm8117,1178l8086,1178,8117,1180,8117,1178xe" filled="true" fillcolor="#000000" stroked="false">
              <v:path arrowok="t"/>
              <v:fill type="solid"/>
            </v:shape>
            <v:shape style="position:absolute;left:8126;top:1156;width:173;height:180" coordorigin="8126,1156" coordsize="173,180" path="m8270,1175l8210,1175,8220,1180,8222,1185,8225,1192,8227,1197,8230,1207,8230,1233,8205,1236,8184,1240,8166,1245,8150,1252,8140,1260,8132,1270,8128,1281,8126,1293,8126,1300,8129,1310,8131,1315,8136,1322,8141,1327,8148,1331,8155,1334,8165,1336,8186,1336,8196,1334,8203,1329,8222,1319,8230,1310,8191,1310,8182,1305,8177,1295,8177,1276,8182,1267,8189,1259,8197,1256,8206,1253,8216,1251,8230,1250,8280,1250,8280,1199,8278,1187,8273,1180,8270,1175xm8280,1307l8232,1307,8234,1310,8234,1334,8299,1334,8299,1322,8294,1322,8290,1319,8287,1317,8285,1317,8282,1315,8282,1310,8280,1310,8280,1307xm8280,1250l8230,1250,8230,1283,8222,1298,8218,1303,8203,1310,8230,1310,8232,1307,8280,1307,8280,1250xm8234,1156l8203,1156,8198,1159,8191,1159,8155,1171,8146,1173,8136,1178,8136,1211,8170,1211,8170,1202,8172,1195,8177,1190,8179,1185,8186,1178,8191,1175,8270,1175,8268,1171,8263,1166,8254,1161,8246,1159,8234,1156xe" filled="true" fillcolor="#000000" stroked="false">
              <v:path arrowok="t"/>
              <v:fill type="solid"/>
            </v:shape>
            <v:shape style="position:absolute;left:8316;top:1115;width:128;height:221" coordorigin="8316,1115" coordsize="128,221" path="m8388,1180l8338,1180,8338,1279,8338,1292,8341,1304,8345,1314,8350,1322,8357,1328,8366,1333,8376,1335,8388,1336,8398,1336,8407,1334,8414,1331,8424,1329,8443,1315,8440,1310,8402,1310,8400,1307,8395,1305,8393,1303,8390,1298,8390,1291,8388,1283,8388,1180xm8434,1300l8429,1303,8426,1305,8424,1305,8422,1307,8419,1307,8414,1310,8440,1310,8434,1300xm8388,1115l8347,1115,8345,1125,8345,1139,8342,1144,8342,1149,8338,1159,8333,1163,8323,1168,8316,1168,8316,1180,8438,1180,8438,1159,8388,1159,8388,1115xe" filled="true" fillcolor="#000000" stroked="false">
              <v:path arrowok="t"/>
              <v:fill type="solid"/>
            </v:shape>
            <v:shape style="position:absolute;left:8453;top:1089;width:87;height:245" coordorigin="8453,1089" coordsize="87,245" path="m8520,1089l8474,1089,8474,1132,8520,1132,8520,1089xm8534,1319l8460,1319,8455,1322,8455,1334,8539,1334,8539,1322,8537,1322,8534,1319xm8522,1156l8501,1156,8453,1159,8453,1171,8455,1171,8460,1173,8462,1173,8465,1175,8467,1175,8467,1178,8470,1180,8470,1187,8472,1190,8472,1303,8470,1305,8470,1310,8467,1312,8467,1317,8465,1319,8532,1319,8530,1317,8527,1317,8527,1315,8525,1312,8525,1310,8522,1307,8522,1156xe" filled="true" fillcolor="#000000" stroked="false">
              <v:path arrowok="t"/>
              <v:fill type="solid"/>
            </v:shape>
            <v:shape style="position:absolute;left:8556;top:1159;width:190;height:178" coordorigin="8556,1159" coordsize="190,178" path="m8638,1171l8558,1171,8563,1173,8566,1175,8568,1175,8570,1178,8570,1183,8573,1185,8575,1192,8580,1202,8626,1336,8659,1336,8682,1286,8659,1286,8633,1207,8630,1197,8628,1190,8628,1178,8633,1175,8638,1171xm8746,1159l8678,1159,8678,1171,8683,1171,8693,1180,8693,1202,8686,1216,8659,1286,8682,1286,8714,1214,8719,1204,8722,1197,8729,1183,8736,1175,8738,1175,8738,1173,8743,1173,8746,1171,8746,1159xm8645,1159l8556,1159,8556,1171,8645,1171,8645,1159xe" filled="true" fillcolor="#000000" stroked="false">
              <v:path arrowok="t"/>
              <v:fill type="solid"/>
            </v:shape>
            <v:shape style="position:absolute;left:8761;top:1156;width:161;height:180" coordorigin="8761,1156" coordsize="161,180" path="m8855,1156l8845,1156,8833,1157,8821,1158,8810,1161,8800,1166,8791,1172,8783,1180,8777,1188,8771,1197,8766,1208,8763,1220,8762,1233,8761,1247,8762,1268,8765,1285,8771,1301,8780,1315,8792,1324,8806,1331,8822,1335,8840,1336,8852,1336,8863,1334,8872,1332,8881,1329,8890,1323,8899,1317,8908,1310,8840,1310,8828,1305,8821,1295,8817,1286,8814,1275,8812,1262,8812,1247,8922,1247,8922,1233,8921,1228,8812,1228,8812,1211,8816,1197,8821,1190,8826,1180,8833,1175,8898,1175,8888,1166,8874,1161,8855,1156xm8903,1286l8893,1295,8879,1305,8864,1310,8908,1310,8917,1300,8903,1286xm8898,1175l8852,1175,8860,1180,8864,1187,8866,1195,8868,1205,8870,1216,8872,1228,8921,1228,8920,1221,8915,1202,8912,1195,8903,1180,8898,1175xe" filled="true" fillcolor="#000000" stroked="false">
              <v:path arrowok="t"/>
              <v:fill type="solid"/>
            </v:shape>
            <v:shape style="position:absolute;left:3770;top:1521;width:458;height:254" type="#_x0000_t75" stroked="false">
              <v:imagedata r:id="rId70" o:title=""/>
            </v:shape>
            <v:shape style="position:absolute;left:4260;top:1595;width:298;height:178" type="#_x0000_t75" stroked="false">
              <v:imagedata r:id="rId71" o:title=""/>
            </v:shape>
            <v:shape style="position:absolute;left:4663;top:1528;width:1279;height:247" type="#_x0000_t75" stroked="false">
              <v:imagedata r:id="rId72" o:title=""/>
            </v:shape>
            <v:shape style="position:absolute;left:6048;top:1531;width:156;height:245" coordorigin="6048,1531" coordsize="156,245" path="m6072,1713l6048,1713,6048,1768,6072,1773,6084,1773,6096,1775,6120,1775,6132,1775,6144,1774,6155,1771,6166,1768,6178,1761,6187,1754,6103,1754,6094,1751,6079,1737,6074,1727,6072,1713xm6151,1531l6139,1531,6127,1531,6116,1533,6104,1536,6094,1540,6079,1545,6070,1552,6055,1571,6053,1583,6053,1615,6058,1622,6062,1636,6070,1641,6074,1648,6079,1653,6094,1663,6122,1677,6137,1687,6146,1696,6149,1703,6154,1713,6154,1727,6151,1735,6149,1739,6144,1744,6142,1749,6134,1751,6130,1754,6187,1754,6194,1744,6204,1720,6204,1694,6202,1684,6197,1677,6194,1667,6173,1646,6161,1639,6146,1631,6134,1624,6125,1619,6120,1615,6113,1610,6110,1605,6106,1600,6103,1595,6103,1571,6108,1567,6110,1562,6130,1552,6202,1552,6202,1538,6178,1533,6161,1533,6151,1531xm6202,1552l6144,1552,6151,1555,6166,1562,6168,1569,6173,1574,6178,1588,6202,1588,6202,1552xe" filled="true" fillcolor="#000000" stroked="false">
              <v:path arrowok="t"/>
              <v:fill type="solid"/>
            </v:shape>
            <v:shape style="position:absolute;left:6216;top:1533;width:233;height:240" coordorigin="6216,1533" coordsize="233,240" path="m6290,1761l6216,1761,6216,1773,6290,1773,6290,1761xm6449,1761l6350,1761,6350,1773,6449,1773,6449,1761xm6365,1533l6319,1533,6245,1727,6242,1737,6238,1742,6233,1751,6223,1761,6278,1761,6274,1754,6274,1730,6276,1725,6276,1720,6278,1715,6283,1699,6413,1699,6407,1677,6290,1677,6326,1581,6379,1581,6365,1533xm6413,1699l6360,1699,6365,1715,6365,1723,6367,1730,6367,1732,6370,1737,6370,1751,6362,1759,6358,1761,6444,1761,6439,1759,6430,1749,6427,1744,6422,1730,6413,1699xm6379,1581l6326,1581,6353,1677,6407,1677,6379,1581xe" filled="true" fillcolor="#000000" stroked="false">
              <v:path arrowok="t"/>
              <v:fill type="solid"/>
            </v:shape>
            <v:shape style="position:absolute;left:6458;top:1533;width:226;height:243" coordorigin="6458,1533" coordsize="226,243" path="m6545,1547l6466,1547,6470,1550,6473,1552,6475,1557,6475,1559,6480,1569,6482,1579,6540,1775,6581,1775,6603,1718,6576,1718,6542,1591,6540,1583,6538,1579,6538,1555,6545,1547xm6674,1547l6619,1547,6622,1552,6624,1555,6626,1559,6626,1569,6624,1574,6624,1583,6619,1593,6576,1718,6603,1718,6655,1579,6658,1569,6665,1555,6670,1552,6674,1547xm6554,1533l6458,1533,6458,1545,6463,1547,6550,1547,6554,1545,6554,1533xm6684,1533l6607,1533,6607,1545,6614,1547,6679,1547,6684,1545,6684,1533xe" filled="true" fillcolor="#000000" stroked="false">
              <v:path arrowok="t"/>
              <v:fill type="solid"/>
            </v:shape>
            <v:shape style="position:absolute;left:6698;top:1533;width:178;height:240" coordorigin="6698,1533" coordsize="178,240" path="m6874,1533l6698,1533,6698,1545,6703,1547,6706,1547,6710,1552,6713,1552,6715,1555,6715,1562,6718,1564,6718,1744,6715,1747,6715,1751,6708,1759,6706,1759,6703,1761,6698,1761,6698,1773,6871,1773,6873,1751,6773,1751,6773,1660,6840,1660,6840,1639,6773,1639,6773,1555,6874,1555,6874,1533xm6876,1708l6852,1708,6847,1723,6845,1727,6845,1730,6842,1735,6840,1737,6840,1739,6833,1747,6830,1747,6828,1749,6826,1749,6823,1751,6873,1751,6876,1708xm6840,1660l6802,1660,6804,1663,6809,1663,6814,1667,6816,1672,6816,1675,6818,1679,6821,1687,6840,1687,6840,1660xm6840,1612l6821,1612,6816,1627,6814,1629,6814,1634,6811,1636,6806,1636,6804,1639,6840,1639,6840,1612xm6874,1555l6818,1555,6826,1557,6830,1559,6833,1562,6838,1564,6840,1567,6842,1571,6845,1579,6850,1588,6874,1588,6874,1555xe" filled="true" fillcolor="#000000" stroked="false">
              <v:path arrowok="t"/>
              <v:fill type="solid"/>
            </v:shape>
            <v:shape style="position:absolute;left:6965;top:1521;width:682;height:254" type="#_x0000_t75" stroked="false">
              <v:imagedata r:id="rId73" o:title=""/>
            </v:shape>
            <v:shape style="position:absolute;left:7678;top:1555;width:650;height:221" type="#_x0000_t75" stroked="false">
              <v:imagedata r:id="rId74" o:title=""/>
            </v:shape>
            <v:rect style="position:absolute;left:7476;top:3086;width:108;height:108" filled="true" fillcolor="#ba5b54" stroked="false">
              <v:fill type="solid"/>
            </v:rect>
            <v:shape style="position:absolute;left:7478;top:3088;width:106;height:106" coordorigin="7478,3088" coordsize="106,106" path="m7478,3088l7584,3088,7584,3194,7478,3194,7478,3088,7550,3088e" filled="false" stroked="true" strokeweight=".84pt" strokecolor="#f9f9f9">
              <v:path arrowok="t"/>
            </v:shape>
            <v:shape style="position:absolute;left:7634;top:3083;width:719;height:142" type="#_x0000_t75" stroked="false">
              <v:imagedata r:id="rId75" o:title=""/>
            </v:shape>
            <v:shape style="position:absolute;left:8410;top:3123;width:182;height:102" type="#_x0000_t75" stroked="false">
              <v:imagedata r:id="rId76" o:title=""/>
            </v:shape>
            <v:shape style="position:absolute;left:8654;top:3088;width:785;height:178" type="#_x0000_t75" stroked="false">
              <v:imagedata r:id="rId77" o:title=""/>
            </v:shape>
            <v:shape style="position:absolute;left:7634;top:3323;width:689;height:182" type="#_x0000_t75" stroked="false">
              <v:imagedata r:id="rId78" o:title=""/>
            </v:shape>
            <v:shape style="position:absolute;left:1819;top:364;width:8460;height:5379" coordorigin="1819,364" coordsize="8460,5379" path="m1819,364l10279,364,10279,5743,1819,5743,1819,364,1891,364e" filled="false" stroked="true" strokeweight=".84pt" strokecolor="#989898">
              <v:path arrowok="t"/>
            </v:shape>
            <w10:wrap type="topAndBottom"/>
          </v:group>
        </w:pict>
      </w:r>
    </w:p>
    <w:p>
      <w:pPr>
        <w:pStyle w:val="BodyText"/>
      </w:pPr>
    </w:p>
    <w:p>
      <w:pPr>
        <w:pStyle w:val="BodyText"/>
      </w:pPr>
    </w:p>
    <w:p>
      <w:pPr>
        <w:pStyle w:val="BodyText"/>
        <w:spacing w:before="7"/>
        <w:rPr>
          <w:sz w:val="25"/>
        </w:rPr>
      </w:pPr>
    </w:p>
    <w:p>
      <w:pPr>
        <w:pStyle w:val="BodyText"/>
        <w:spacing w:line="504" w:lineRule="auto" w:before="1"/>
        <w:ind w:left="119" w:right="107"/>
        <w:jc w:val="both"/>
      </w:pPr>
      <w:r>
        <w:rPr>
          <w:w w:val="110"/>
        </w:rPr>
        <w:t>In total, over the period 2012-2015, the IP found the Disappearing Positive Methodology used on 643 positive samples. The charts detail the findings. Given that it was impossible for the IP to achieve full access to Russian records or the LIMS system, this number is only a minimum.</w:t>
      </w:r>
    </w:p>
    <w:p>
      <w:pPr>
        <w:spacing w:after="0" w:line="504" w:lineRule="auto"/>
        <w:jc w:val="both"/>
        <w:sectPr>
          <w:pgSz w:w="12240" w:h="15840"/>
          <w:pgMar w:header="0" w:footer="707" w:top="1440" w:bottom="900" w:left="1700" w:right="1680"/>
        </w:sectPr>
      </w:pPr>
    </w:p>
    <w:p>
      <w:pPr>
        <w:pStyle w:val="BodyText"/>
        <w:spacing w:line="504" w:lineRule="auto" w:before="16"/>
        <w:ind w:left="119" w:right="105"/>
        <w:jc w:val="both"/>
      </w:pPr>
      <w:r>
        <w:rPr>
          <w:w w:val="110"/>
        </w:rPr>
        <w:t>The participants in the Disappearing Positive Methodology were so confident in the inability of outsiders to detect what was going on, that the methodology operated even during the time of the IC in 2015. Although it did appear to slow down, Dr. Rodchenkov indicated that in 2015 the Deputy Minister had wanted to close the whole system down as he thought it was too risky, but was persuaded</w:t>
      </w:r>
      <w:r>
        <w:rPr>
          <w:spacing w:val="66"/>
          <w:w w:val="110"/>
        </w:rPr>
        <w:t> </w:t>
      </w:r>
      <w:r>
        <w:rPr>
          <w:w w:val="110"/>
        </w:rPr>
        <w:t>to keep it going by Rodionova. Throughout the period beginning in late 2011 the methodology operated efficiently and effectively, undisturbed by foreign observers.</w:t>
      </w:r>
    </w:p>
    <w:p>
      <w:pPr>
        <w:pStyle w:val="BodyText"/>
      </w:pPr>
    </w:p>
    <w:p>
      <w:pPr>
        <w:pStyle w:val="BodyText"/>
        <w:spacing w:before="2"/>
        <w:rPr>
          <w:sz w:val="27"/>
        </w:rPr>
      </w:pPr>
    </w:p>
    <w:p>
      <w:pPr>
        <w:pStyle w:val="BodyText"/>
        <w:spacing w:line="504" w:lineRule="auto"/>
        <w:ind w:left="119" w:right="107"/>
        <w:jc w:val="both"/>
      </w:pPr>
      <w:r>
        <w:rPr>
          <w:w w:val="110"/>
        </w:rPr>
        <w:t>The Disappearing Positive Methodology was utilised across a range of sports as reflected in the following chart.</w:t>
      </w:r>
    </w:p>
    <w:p>
      <w:pPr>
        <w:spacing w:after="0" w:line="504" w:lineRule="auto"/>
        <w:jc w:val="both"/>
        <w:sectPr>
          <w:footerReference w:type="default" r:id="rId79"/>
          <w:pgSz w:w="12240" w:h="15840"/>
          <w:pgMar w:footer="705" w:header="0" w:top="1440" w:bottom="900" w:left="1700" w:right="1680"/>
        </w:sectPr>
      </w:pPr>
    </w:p>
    <w:p>
      <w:pPr>
        <w:pStyle w:val="BodyText"/>
        <w:ind w:left="110"/>
        <w:rPr>
          <w:sz w:val="20"/>
        </w:rPr>
      </w:pPr>
      <w:r>
        <w:rPr>
          <w:sz w:val="20"/>
        </w:rPr>
        <w:pict>
          <v:group style="width:399.85pt;height:288.850pt;mso-position-horizontal-relative:char;mso-position-vertical-relative:line" coordorigin="0,0" coordsize="7997,5777">
            <v:line style="position:absolute" from="2605,4117" to="7837,4117" stroked="true" strokeweight=".72003pt" strokecolor="#989898"/>
            <v:line style="position:absolute" from="2370,4117" to="2509,4117" stroked="true" strokeweight=".72003pt" strokecolor="#989898"/>
            <v:line style="position:absolute" from="2135,4117" to="2274,4117" stroked="true" strokeweight=".72003pt" strokecolor="#989898"/>
            <v:line style="position:absolute" from="1900,4117" to="2039,4117" stroked="true" strokeweight=".72003pt" strokecolor="#989898"/>
            <v:line style="position:absolute" from="1664,4117" to="1804,4117" stroked="true" strokeweight=".72003pt" strokecolor="#989898"/>
            <v:line style="position:absolute" from="1429,4117" to="1568,4117" stroked="true" strokeweight=".72003pt" strokecolor="#989898"/>
            <v:line style="position:absolute" from="1194,4117" to="1338,4117" stroked="true" strokeweight=".72003pt" strokecolor="#989898"/>
            <v:line style="position:absolute" from="959,4117" to="1103,4117" stroked="true" strokeweight=".72003pt" strokecolor="#989898"/>
            <v:line style="position:absolute" from="560,4117" to="868,4117" stroked="true" strokeweight=".72003pt" strokecolor="#989898"/>
            <v:line style="position:absolute" from="1194,3642" to="7837,3642" stroked="true" strokeweight=".71997pt" strokecolor="#989898"/>
            <v:line style="position:absolute" from="959,3642" to="1103,3642" stroked="true" strokeweight=".71997pt" strokecolor="#989898"/>
            <v:line style="position:absolute" from="560,3642" to="868,3642" stroked="true" strokeweight=".71997pt" strokecolor="#989898"/>
            <v:line style="position:absolute" from="1194,3167" to="7837,3167" stroked="true" strokeweight=".71997pt" strokecolor="#989898"/>
            <v:line style="position:absolute" from="959,3167" to="1103,3167" stroked="true" strokeweight=".71997pt" strokecolor="#989898"/>
            <v:line style="position:absolute" from="560,3167" to="868,3167" stroked="true" strokeweight=".71997pt" strokecolor="#989898"/>
            <v:line style="position:absolute" from="1194,2692" to="7837,2692" stroked="true" strokeweight=".71997pt" strokecolor="#989898"/>
            <v:line style="position:absolute" from="959,2692" to="1103,2692" stroked="true" strokeweight=".71997pt" strokecolor="#989898"/>
            <v:line style="position:absolute" from="560,2692" to="868,2692" stroked="true" strokeweight=".71997pt" strokecolor="#989898"/>
            <v:line style="position:absolute" from="1194,2221" to="7837,2221" stroked="true" strokeweight=".72003pt" strokecolor="#989898"/>
            <v:line style="position:absolute" from="959,2221" to="1103,2221" stroked="true" strokeweight=".72003pt" strokecolor="#989898"/>
            <v:line style="position:absolute" from="560,2221" to="868,2221" stroked="true" strokeweight=".72003pt" strokecolor="#989898"/>
            <v:line style="position:absolute" from="959,1746" to="7837,1746" stroked="true" strokeweight=".72003pt" strokecolor="#989898"/>
            <v:line style="position:absolute" from="560,1746" to="868,1746" stroked="true" strokeweight=".72003pt" strokecolor="#989898"/>
            <v:line style="position:absolute" from="560,1271" to="7837,1271" stroked="true" strokeweight=".72003pt" strokecolor="#989898"/>
            <v:shape style="position:absolute;left:796;top:1261;width:7046;height:3341" type="#_x0000_t75" stroked="false">
              <v:imagedata r:id="rId80" o:title=""/>
            </v:shape>
            <v:shape style="position:absolute;left:796;top:1278;width:5640;height:3310" type="#_x0000_t75" stroked="false">
              <v:imagedata r:id="rId81" o:title=""/>
            </v:shape>
            <v:shape style="position:absolute;left:796;top:1264;width:7042;height:3324" type="#_x0000_t75" stroked="false">
              <v:imagedata r:id="rId82" o:title=""/>
            </v:shape>
            <v:rect style="position:absolute;left:868;top:1295;width:91;height:3293" filled="true" fillcolor="#000000" stroked="false">
              <v:fill type="solid"/>
            </v:rect>
            <v:rect style="position:absolute;left:1103;top:1818;width:91;height:2770" filled="true" fillcolor="#000000" stroked="false">
              <v:fill type="solid"/>
            </v:rect>
            <v:rect style="position:absolute;left:1338;top:3714;width:91;height:874" filled="true" fillcolor="#000000" stroked="false">
              <v:fill type="solid"/>
            </v:rect>
            <v:rect style="position:absolute;left:1569;top:3757;width:96;height:830" filled="true" fillcolor="#000000" stroked="false">
              <v:fill type="solid"/>
            </v:rect>
            <v:rect style="position:absolute;left:1804;top:3925;width:96;height:662" filled="true" fillcolor="#000000" stroked="false">
              <v:fill type="solid"/>
            </v:rect>
            <v:rect style="position:absolute;left:2039;top:3949;width:96;height:638" filled="true" fillcolor="#000000" stroked="false">
              <v:fill type="solid"/>
            </v:rect>
            <v:rect style="position:absolute;left:2274;top:3973;width:96;height:614" filled="true" fillcolor="#000000" stroked="false">
              <v:fill type="solid"/>
            </v:rect>
            <v:rect style="position:absolute;left:2509;top:4021;width:96;height:566" filled="true" fillcolor="#000000" stroked="false">
              <v:fill type="solid"/>
            </v:rect>
            <v:rect style="position:absolute;left:2745;top:4160;width:96;height:427" filled="true" fillcolor="#000000" stroked="false">
              <v:fill type="solid"/>
            </v:rect>
            <v:rect style="position:absolute;left:2980;top:4256;width:91;height:331" filled="true" fillcolor="#000000" stroked="false">
              <v:fill type="solid"/>
            </v:rect>
            <v:rect style="position:absolute;left:3215;top:4280;width:91;height:307" filled="true" fillcolor="#000000" stroked="false">
              <v:fill type="solid"/>
            </v:rect>
            <v:rect style="position:absolute;left:3450;top:4329;width:91;height:259" filled="true" fillcolor="#000000" stroked="false">
              <v:fill type="solid"/>
            </v:rect>
            <v:rect style="position:absolute;left:3685;top:4329;width:91;height:259" filled="true" fillcolor="#000000" stroked="false">
              <v:fill type="solid"/>
            </v:rect>
            <v:rect style="position:absolute;left:3920;top:4353;width:91;height:235" filled="true" fillcolor="#000000" stroked="false">
              <v:fill type="solid"/>
            </v:rect>
            <v:rect style="position:absolute;left:4151;top:4400;width:96;height:187" filled="true" fillcolor="#000000" stroked="false">
              <v:fill type="solid"/>
            </v:rect>
            <v:rect style="position:absolute;left:4386;top:4400;width:96;height:187" filled="true" fillcolor="#000000" stroked="false">
              <v:fill type="solid"/>
            </v:rect>
            <v:rect style="position:absolute;left:4621;top:4400;width:96;height:187" filled="true" fillcolor="#000000" stroked="false">
              <v:fill type="solid"/>
            </v:rect>
            <v:rect style="position:absolute;left:4856;top:4425;width:96;height:163" filled="true" fillcolor="#000000" stroked="false">
              <v:fill type="solid"/>
            </v:rect>
            <v:rect style="position:absolute;left:5092;top:4425;width:96;height:163" filled="true" fillcolor="#000000" stroked="false">
              <v:fill type="solid"/>
            </v:rect>
            <v:rect style="position:absolute;left:5327;top:4449;width:96;height:139" filled="true" fillcolor="#000000" stroked="false">
              <v:fill type="solid"/>
            </v:rect>
            <v:rect style="position:absolute;left:5562;top:4492;width:91;height:96" filled="true" fillcolor="#000000" stroked="false">
              <v:fill type="solid"/>
            </v:rect>
            <v:rect style="position:absolute;left:5797;top:4492;width:91;height:96" filled="true" fillcolor="#000000" stroked="false">
              <v:fill type="solid"/>
            </v:rect>
            <v:line style="position:absolute" from="6033,4552" to="6124,4552" stroked="true" strokeweight="3.6pt" strokecolor="#000000"/>
            <v:line style="position:absolute" from="6268,4552" to="6359,4552" stroked="true" strokeweight="3.6pt" strokecolor="#000000"/>
            <v:line style="position:absolute" from="6498,4564" to="6594,4564" stroked="true" strokeweight="2.4pt" strokecolor="#000000"/>
            <v:line style="position:absolute" from="6733,4564" to="6829,4564" stroked="true" strokeweight="2.4pt" strokecolor="#000000"/>
            <v:line style="position:absolute" from="6968,4576" to="7064,4576" stroked="true" strokeweight="1.2pt" strokecolor="#000000"/>
            <v:line style="position:absolute" from="7204,4576" to="7300,4576" stroked="true" strokeweight="1.2pt" strokecolor="#000000"/>
            <v:line style="position:absolute" from="7439,4576" to="7535,4576" stroked="true" strokeweight="1.2pt" strokecolor="#000000"/>
            <v:line style="position:absolute" from="7674,4576" to="7770,4576" stroked="true" strokeweight="1.2pt" strokecolor="#000000"/>
            <v:line style="position:absolute" from="560,801" to="7837,801" stroked="true" strokeweight=".72003pt" strokecolor="#989898"/>
            <v:line style="position:absolute" from="560,4588" to="560,798" stroked="true" strokeweight=".84pt" strokecolor="#989898"/>
            <v:line style="position:absolute" from="498,4588" to="561,4588" stroked="true" strokeweight=".84pt" strokecolor="#989898"/>
            <v:line style="position:absolute" from="498,4117" to="561,4117" stroked="true" strokeweight=".84pt" strokecolor="#989898"/>
            <v:line style="position:absolute" from="498,3642" to="561,3642" stroked="true" strokeweight=".84pt" strokecolor="#989898"/>
            <v:line style="position:absolute" from="498,3167" to="561,3167" stroked="true" strokeweight=".84pt" strokecolor="#989898"/>
            <v:line style="position:absolute" from="498,2692" to="561,2692" stroked="true" strokeweight=".84pt" strokecolor="#989898"/>
            <v:line style="position:absolute" from="498,2221" to="561,2221" stroked="true" strokeweight=".84pt" strokecolor="#989898"/>
            <v:line style="position:absolute" from="498,1746" to="561,1746" stroked="true" strokeweight=".84pt" strokecolor="#989898"/>
            <v:line style="position:absolute" from="498,1271" to="561,1271" stroked="true" strokeweight=".84pt" strokecolor="#989898"/>
            <v:line style="position:absolute" from="498,801" to="561,801" stroked="true" strokeweight=".84pt" strokecolor="#989898"/>
            <v:line style="position:absolute" from="560,4588" to="7837,4588" stroked="true" strokeweight=".84pt" strokecolor="#989898"/>
            <v:line style="position:absolute" from="560,4588" to="560,4631" stroked="true" strokeweight=".84pt" strokecolor="#989898"/>
            <v:line style="position:absolute" from="796,4588" to="796,4631" stroked="true" strokeweight=".84pt" strokecolor="#989898"/>
            <v:line style="position:absolute" from="1031,4588" to="1031,4631" stroked="true" strokeweight=".84pt" strokecolor="#989898"/>
            <v:line style="position:absolute" from="1266,4588" to="1266,4631" stroked="true" strokeweight=".84pt" strokecolor="#989898"/>
            <v:line style="position:absolute" from="1501,4588" to="1501,4631" stroked="true" strokeweight=".84pt" strokecolor="#989898"/>
            <v:line style="position:absolute" from="1736,4588" to="1736,4631" stroked="true" strokeweight=".84pt" strokecolor="#989898"/>
            <v:line style="position:absolute" from="1972,4588" to="1972,4631" stroked="true" strokeweight=".84pt" strokecolor="#989898"/>
            <v:line style="position:absolute" from="2201,4588" to="2201,4631" stroked="true" strokeweight=".84pt" strokecolor="#989898"/>
            <v:line style="position:absolute" from="2437,4588" to="2437,4631" stroked="true" strokeweight=".84pt" strokecolor="#989898"/>
            <v:line style="position:absolute" from="2673,4588" to="2673,4631" stroked="true" strokeweight=".84pt" strokecolor="#989898"/>
            <v:line style="position:absolute" from="2908,4588" to="2908,4631" stroked="true" strokeweight=".84pt" strokecolor="#989898"/>
            <v:line style="position:absolute" from="3143,4588" to="3143,4631" stroked="true" strokeweight=".84pt" strokecolor="#989898"/>
            <v:line style="position:absolute" from="3378,4588" to="3378,4631" stroked="true" strokeweight=".84pt" strokecolor="#989898"/>
            <v:line style="position:absolute" from="3613,4588" to="3613,4631" stroked="true" strokeweight=".84pt" strokecolor="#989898"/>
            <v:line style="position:absolute" from="3849,4588" to="3849,4631" stroked="true" strokeweight=".84pt" strokecolor="#989898"/>
            <v:line style="position:absolute" from="4084,4588" to="4084,4631" stroked="true" strokeweight=".84pt" strokecolor="#989898"/>
            <v:line style="position:absolute" from="4319,4588" to="4319,4631" stroked="true" strokeweight=".84pt" strokecolor="#989898"/>
            <v:line style="position:absolute" from="4554,4588" to="4554,4631" stroked="true" strokeweight=".84pt" strokecolor="#989898"/>
            <v:line style="position:absolute" from="4785,4588" to="4785,4631" stroked="true" strokeweight=".84pt" strokecolor="#989898"/>
            <v:line style="position:absolute" from="5020,4588" to="5020,4631" stroked="true" strokeweight=".84pt" strokecolor="#989898"/>
            <v:line style="position:absolute" from="5255,4588" to="5255,4631" stroked="true" strokeweight=".84pt" strokecolor="#989898"/>
            <v:line style="position:absolute" from="5490,4588" to="5490,4631" stroked="true" strokeweight=".84pt" strokecolor="#989898"/>
            <v:line style="position:absolute" from="5725,4588" to="5725,4631" stroked="true" strokeweight=".84pt" strokecolor="#989898"/>
            <v:line style="position:absolute" from="5960,4588" to="5960,4631" stroked="true" strokeweight=".84pt" strokecolor="#989898"/>
            <v:line style="position:absolute" from="6196,4588" to="6196,4631" stroked="true" strokeweight=".84pt" strokecolor="#989898"/>
            <v:line style="position:absolute" from="6431,4588" to="6431,4631" stroked="true" strokeweight=".84pt" strokecolor="#989898"/>
            <v:line style="position:absolute" from="6666,4588" to="6666,4631" stroked="true" strokeweight=".84pt" strokecolor="#989898"/>
            <v:line style="position:absolute" from="6901,4588" to="6901,4631" stroked="true" strokeweight=".84pt" strokecolor="#989898"/>
            <v:line style="position:absolute" from="7137,4588" to="7137,4631" stroked="true" strokeweight=".84pt" strokecolor="#989898"/>
            <v:line style="position:absolute" from="7367,4588" to="7367,4631" stroked="true" strokeweight=".84pt" strokecolor="#989898"/>
            <v:line style="position:absolute" from="7602,4588" to="7602,4631" stroked="true" strokeweight=".84pt" strokecolor="#989898"/>
            <v:line style="position:absolute" from="7837,4588" to="7837,4631" stroked="true" strokeweight=".84pt" strokecolor="#989898"/>
            <v:shape style="position:absolute;left:1000;top:277;width:142;height:161" coordorigin="1000,277" coordsize="142,161" path="m1043,431l1000,431,1000,438,1043,438,1043,431xm1071,318l1031,318,1033,325,1041,335,1048,347,1101,438,1129,438,1129,390,1110,390,1108,383,1098,368,1096,361,1091,354,1089,349,1071,318xm1048,277l1000,277,1000,284,1005,287,1007,287,1007,289,1009,289,1012,292,1012,424,1009,424,1009,426,1007,428,1005,428,1002,431,1041,431,1036,428,1033,426,1033,424,1031,421,1031,318,1071,318,1048,277xm1132,289l1108,289,1108,292,1110,294,1110,354,1110,361,1111,376,1113,390,1129,390,1129,296,1132,294,1132,289xm1134,287l1105,287,1105,289,1134,289,1134,287xm1141,277l1098,277,1098,284,1101,284,1103,287,1139,287,1141,284,1141,277xe" filled="true" fillcolor="#000000" stroked="false">
              <v:path arrowok="t"/>
              <v:fill type="solid"/>
            </v:shape>
            <v:shape style="position:absolute;left:1158;top:323;width:128;height:118" coordorigin="1158,323" coordsize="128,118" path="m1204,323l1158,323,1158,330,1160,330,1163,333,1165,333,1168,335,1168,337,1170,340,1170,417,1172,421,1175,429,1180,433,1189,438,1196,441,1216,441,1220,436,1228,433,1240,421,1213,421,1206,414,1206,409,1204,405,1204,323xm1273,323l1228,323,1228,330,1230,330,1232,333,1235,333,1237,335,1237,337,1240,340,1240,407,1237,412,1232,417,1228,419,1225,421,1242,421,1240,438,1285,438,1285,431,1283,431,1280,429,1278,429,1276,426,1276,424,1273,421,1273,323xe" filled="true" fillcolor="#000000" stroked="false">
              <v:path arrowok="t"/>
              <v:fill type="solid"/>
            </v:shape>
            <v:shape style="position:absolute;left:1302;top:320;width:200;height:118" coordorigin="1302,320" coordsize="200,118" path="m1360,431l1305,431,1305,438,1360,438,1360,431xm1429,431l1374,431,1374,438,1429,438,1429,431xm1501,431l1444,431,1444,438,1501,438,1501,431xm1350,323l1302,323,1302,330,1307,330,1309,332,1312,332,1312,335,1314,335,1314,340,1317,342,1317,416,1314,421,1314,426,1312,426,1312,428,1309,431,1357,431,1355,428,1353,428,1353,426,1350,424,1350,354,1353,349,1360,342,1365,340,1348,340,1350,323xm1429,342l1379,342,1381,344,1381,347,1384,349,1384,354,1386,359,1386,419,1384,421,1384,426,1379,431,1427,431,1420,424,1420,354,1422,352,1422,349,1427,344,1429,344,1429,342xm1485,340l1446,340,1446,342,1449,342,1451,344,1451,347,1453,349,1453,356,1456,361,1456,419,1453,421,1453,426,1449,431,1497,431,1494,428,1492,428,1492,426,1489,424,1489,354,1487,349,1487,344,1485,340xm1396,320l1379,320,1369,325,1362,328,1350,340,1377,340,1377,342,1417,342,1413,332,1405,325,1396,320xm1468,320l1449,320,1444,323,1437,325,1432,328,1417,342,1432,342,1434,340,1485,340,1485,335,1482,330,1477,328,1475,325,1470,323,1468,320xe" filled="true" fillcolor="#000000" stroked="false">
              <v:path arrowok="t"/>
              <v:fill type="solid"/>
            </v:shape>
            <v:shape style="position:absolute;left:1513;top:270;width:128;height:171" coordorigin="1513,270" coordsize="128,171" path="m1561,270l1547,270,1513,273,1513,280,1518,280,1521,282,1523,282,1523,285,1525,285,1525,289,1528,292,1528,438,1542,441,1552,433,1614,433,1624,429,1573,429,1569,426,1566,421,1561,417,1561,354,1564,349,1569,345,1573,342,1576,340,1561,340,1561,270xm1614,433l1552,433,1561,438,1573,441,1597,441,1607,438,1614,433xm1612,321l1588,321,1585,323,1581,325,1576,325,1561,340,1590,340,1595,345,1600,352,1602,359,1605,371,1605,400,1602,409,1597,417,1595,426,1588,429,1624,429,1633,414,1638,405,1641,393,1641,381,1640,366,1637,353,1633,343,1629,335,1621,325,1612,321xe" filled="true" fillcolor="#000000" stroked="false">
              <v:path arrowok="t"/>
              <v:fill type="solid"/>
            </v:shape>
            <v:shape style="position:absolute;left:1660;top:320;width:108;height:120" coordorigin="1660,320" coordsize="108,120" path="m1729,320l1705,320,1696,323,1686,328,1679,332,1672,340,1662,359,1660,368,1660,380,1661,395,1663,408,1668,418,1674,426,1681,432,1690,437,1701,440,1715,440,1725,440,1734,438,1741,436,1749,431,1758,426,1762,421,1713,421,1705,419,1696,404,1693,395,1693,380,1768,380,1768,368,1693,368,1693,356,1696,349,1701,342,1703,335,1708,332,1753,332,1749,330,1746,328,1741,325,1734,323,1729,320xm1756,407l1751,412,1744,416,1734,421,1762,421,1765,416,1756,407xm1753,332l1722,332,1727,335,1729,342,1732,347,1734,356,1734,368,1768,368,1768,364,1765,356,1763,352,1761,344,1758,340,1756,337,1753,332xe" filled="true" fillcolor="#000000" stroked="false">
              <v:path arrowok="t"/>
              <v:fill type="solid"/>
            </v:shape>
            <v:shape style="position:absolute;left:1787;top:320;width:99;height:118" coordorigin="1787,320" coordsize="99,118" path="m1845,431l1787,431,1787,438,1845,438,1845,431xm1833,323l1787,323,1787,330,1789,330,1792,332,1794,332,1794,335,1797,335,1797,337,1799,340,1799,421,1797,424,1797,426,1794,426,1794,428,1792,431,1842,431,1837,428,1835,426,1835,424,1833,421,1833,354,1835,352,1835,349,1842,342,1845,342,1847,340,1830,340,1833,323xm1881,320l1864,320,1849,325,1845,328,1837,332,1833,340,1854,340,1861,347,1861,349,1864,354,1885,354,1885,323,1881,320xe" filled="true" fillcolor="#000000" stroked="false">
              <v:path arrowok="t"/>
              <v:fill type="solid"/>
            </v:shape>
            <v:shape style="position:absolute;left:1950;top:270;width:221;height:170" type="#_x0000_t75" stroked="false">
              <v:imagedata r:id="rId83" o:title=""/>
            </v:shape>
            <v:shape style="position:absolute;left:2219;top:275;width:2402;height:216" type="#_x0000_t75" stroked="false">
              <v:imagedata r:id="rId84" o:title=""/>
            </v:shape>
            <v:shape style="position:absolute;left:4691;top:277;width:475;height:163" type="#_x0000_t75" stroked="false">
              <v:imagedata r:id="rId85" o:title=""/>
            </v:shape>
            <v:shape style="position:absolute;left:5226;top:270;width:792;height:170" type="#_x0000_t75" stroked="false">
              <v:imagedata r:id="rId86" o:title=""/>
            </v:shape>
            <v:shape style="position:absolute;left:6085;top:270;width:264;height:218" type="#_x0000_t75" stroked="false">
              <v:imagedata r:id="rId87" o:title=""/>
            </v:shape>
            <v:shape style="position:absolute;left:6410;top:275;width:596;height:214" type="#_x0000_t75" stroked="false">
              <v:imagedata r:id="rId88" o:title=""/>
            </v:shape>
            <v:shape style="position:absolute;left:3039;top:534;width:1912;height:187" type="#_x0000_t75" stroked="false">
              <v:imagedata r:id="rId89" o:title=""/>
            </v:shape>
            <v:shape style="position:absolute;left:282;top:4535;width:87;height:137" coordorigin="282,4535" coordsize="87,137" path="m340,4535l313,4535,308,4537,301,4542,299,4544,294,4552,289,4556,287,4564,284,4573,282,4580,282,4604,283,4620,284,4633,287,4645,292,4655,299,4664,308,4672,337,4672,349,4664,351,4662,318,4662,311,4657,306,4648,304,4638,303,4627,302,4615,301,4604,301,4576,304,4571,304,4564,311,4549,316,4544,354,4544,352,4540,340,4535xm354,4544l335,4544,337,4549,342,4554,347,4568,347,4578,349,4590,349,4604,349,4618,347,4630,345,4640,342,4648,340,4657,332,4662,351,4662,356,4652,361,4643,365,4631,368,4616,368,4600,368,4584,365,4571,361,4560,356,4552,354,4544xe" filled="true" fillcolor="#000000" stroked="false">
              <v:path arrowok="t"/>
              <v:fill type="solid"/>
            </v:shape>
            <v:shape style="position:absolute;left:172;top:4060;width:197;height:137" type="#_x0000_t75" stroked="false">
              <v:imagedata r:id="rId90" o:title=""/>
            </v:shape>
            <v:shape style="position:absolute;left:167;top:3587;width:202;height:137" type="#_x0000_t75" stroked="false">
              <v:imagedata r:id="rId91" o:title=""/>
            </v:shape>
            <v:shape style="position:absolute;left:172;top:3112;width:197;height:137" type="#_x0000_t75" stroked="false">
              <v:imagedata r:id="rId92" o:title=""/>
            </v:shape>
            <v:shape style="position:absolute;left:170;top:2639;width:198;height:137" type="#_x0000_t75" stroked="false">
              <v:imagedata r:id="rId93" o:title=""/>
            </v:shape>
            <v:shape style="position:absolute;left:68;top:2166;width:300;height:137" type="#_x0000_t75" stroked="false">
              <v:imagedata r:id="rId94" o:title=""/>
            </v:shape>
            <v:shape style="position:absolute;left:68;top:1691;width:300;height:137" type="#_x0000_t75" stroked="false">
              <v:imagedata r:id="rId95" o:title=""/>
            </v:shape>
            <v:shape style="position:absolute;left:68;top:1218;width:300;height:137" type="#_x0000_t75" stroked="false">
              <v:imagedata r:id="rId96" o:title=""/>
            </v:shape>
            <v:shape style="position:absolute;left:68;top:744;width:300;height:138" type="#_x0000_t75" stroked="false">
              <v:imagedata r:id="rId97" o:title=""/>
            </v:shape>
            <v:shape style="position:absolute;left:491;top:4730;width:1409;height:911" type="#_x0000_t75" stroked="false">
              <v:imagedata r:id="rId98" o:title=""/>
            </v:shape>
            <v:shape style="position:absolute;left:1801;top:4736;width:564;height:356" type="#_x0000_t75" stroked="false">
              <v:imagedata r:id="rId99" o:title=""/>
            </v:shape>
            <v:shape style="position:absolute;left:2204;top:4730;width:836;height:542" type="#_x0000_t75" stroked="false">
              <v:imagedata r:id="rId100" o:title=""/>
            </v:shape>
            <v:shape style="position:absolute;left:2965;top:4729;width:346;height:324" type="#_x0000_t75" stroked="false">
              <v:imagedata r:id="rId101" o:title=""/>
            </v:shape>
            <v:shape style="position:absolute;left:3097;top:4717;width:1138;height:504" type="#_x0000_t75" stroked="false">
              <v:imagedata r:id="rId102" o:title=""/>
            </v:shape>
            <v:shape style="position:absolute;left:4204;top:4744;width:254;height:254" type="#_x0000_t75" stroked="false">
              <v:imagedata r:id="rId103" o:title=""/>
            </v:shape>
            <v:shape style="position:absolute;left:4187;top:4715;width:519;height:494" coordorigin="4187,4715" coordsize="519,494" path="m4242,5169l4199,5169,4201,5171,4206,5171,4276,5209,4285,5201,4278,5185,4269,5185,4242,5169xm4252,5125l4235,5125,4245,5133,4245,5135,4247,5135,4247,5137,4269,5185,4278,5185,4252,5125xm4213,5141l4187,5167,4189,5171,4194,5169,4242,5169,4225,5159,4223,5157,4218,5157,4213,5149,4213,5145,4216,5143,4213,5141xm4326,5083l4309,5083,4302,5087,4290,5097,4285,5107,4283,5109,4283,5125,4290,5141,4295,5143,4300,5149,4307,5153,4317,5157,4321,5157,4329,5155,4338,5149,4345,5143,4331,5143,4326,5141,4321,5141,4314,5135,4309,5129,4297,5117,4297,5113,4295,5109,4295,5101,4297,5099,4302,5097,4344,5097,4333,5087,4326,5083xm4344,5097l4309,5097,4314,5099,4321,5105,4338,5121,4338,5123,4341,5125,4341,5137,4336,5143,4345,5143,4348,5141,4355,5123,4355,5119,4353,5111,4348,5101,4344,5097xm4249,5105l4228,5125,4230,5129,4233,5129,4235,5125,4252,5125,4252,5121,4249,5119,4249,5113,4252,5109,4249,5105xm4344,5045l4314,5045,4317,5047,4321,5049,4321,5051,4324,5051,4326,5057,4365,5093,4367,5095,4367,5097,4369,5097,4372,5101,4372,5107,4369,5109,4374,5111,4398,5087,4389,5087,4386,5085,4384,5085,4344,5045xm4393,5085l4391,5087,4398,5087,4393,5085xm4373,5015l4348,5015,4403,5071,4403,5075,4401,5077,4403,5081,4427,5059,4426,5057,4420,5057,4413,5051,4408,5049,4373,5015xm4425,5053l4422,5057,4426,5057,4425,5053xm4324,5025l4317,5029,4305,5045,4307,5047,4312,5045,4344,5045,4324,5025xm4441,4969l4420,4969,4417,4973,4413,4975,4405,4983,4403,4987,4401,4995,4398,4999,4401,5003,4401,5011,4403,5015,4413,5025,4420,5035,4427,5039,4444,5039,4451,5035,4458,5027,4463,5025,4464,5023,4441,5023,4432,5017,4425,5013,4433,5005,4420,5005,4417,5001,4413,4997,4413,4987,4420,4979,4454,4979,4453,4977,4449,4975,4441,4969xm4470,4999l4461,4999,4463,5001,4461,5005,4461,5009,4458,5011,4458,5015,4456,5017,4446,5023,4464,5023,4470,5011,4470,4999xm4499,5003l4494,5009,4506,5021,4509,5017,4511,5017,4513,5013,4518,5009,4520,5005,4501,5005,4499,5003xm4353,4995l4348,4999,4336,5013,4338,5017,4343,5015,4373,5015,4353,4995xm4454,4979l4420,4979,4425,4983,4427,4983,4437,4991,4420,5005,4433,5005,4456,4983,4454,4979xm4516,4979l4506,4979,4509,4985,4509,4989,4511,4991,4511,4999,4509,5003,4504,5005,4520,5005,4521,5003,4521,4991,4518,4987,4518,4983,4516,4979xm4461,4929l4437,4953,4439,4955,4451,4955,4504,4983,4506,4979,4516,4979,4513,4975,4508,4961,4499,4961,4470,4945,4465,4941,4463,4941,4463,4931,4461,4929xm4434,4967l4425,4967,4422,4969,4437,4969,4434,4967xm4489,4901l4470,4919,4473,4921,4477,4921,4487,4929,4487,4933,4499,4961,4508,4961,4494,4925,4494,4919,4492,4917,4492,4905,4489,4901xm4537,4855l4530,4857,4525,4865,4523,4867,4521,4867,4521,4869,4518,4871,4518,4879,4516,4881,4516,4885,4489,4885,4545,4941,4552,4937,4552,4929,4559,4927,4564,4925,4569,4919,4552,4919,4547,4915,4542,4913,4525,4895,4523,4893,4523,4881,4525,4879,4525,4877,4528,4873,4568,4873,4557,4861,4549,4857,4542,4857,4537,4855xm4568,4873l4533,4873,4537,4877,4542,4877,4564,4897,4564,4903,4566,4907,4566,4913,4561,4915,4557,4919,4569,4919,4573,4915,4576,4907,4581,4897,4578,4893,4578,4889,4576,4881,4568,4873xm4510,4879l4480,4879,4482,4881,4487,4883,4487,4885,4516,4885,4510,4879xm4489,4859l4482,4865,4470,4879,4473,4881,4477,4879,4510,4879,4489,4859xm4614,4821l4585,4821,4588,4823,4590,4823,4593,4829,4597,4833,4590,4843,4585,4849,4583,4859,4581,4867,4585,4877,4588,4879,4593,4881,4602,4881,4607,4879,4609,4879,4612,4877,4614,4871,4617,4869,4619,4865,4600,4865,4600,4861,4595,4859,4595,4847,4597,4843,4602,4839,4631,4839,4631,4835,4629,4833,4626,4833,4614,4821xm4633,4839l4602,4839,4612,4845,4614,4847,4614,4859,4612,4859,4612,4861,4609,4865,4619,4865,4619,4857,4621,4853,4633,4853,4645,4841,4636,4841,4633,4839xm4633,4853l4621,4853,4626,4859,4633,4853xm4595,4805l4585,4805,4583,4807,4578,4809,4576,4813,4571,4819,4569,4819,4569,4821,4564,4825,4564,4829,4561,4831,4561,4835,4559,4839,4559,4843,4566,4849,4576,4843,4573,4839,4573,4835,4571,4833,4571,4829,4576,4823,4581,4821,4614,4821,4600,4807,4595,4805xm4643,4839l4638,4839,4636,4841,4645,4841,4643,4839xm4622,4769l4595,4769,4643,4817,4643,4819,4645,4819,4648,4821,4648,4823,4650,4825,4650,4829,4648,4831,4650,4835,4674,4811,4673,4809,4667,4809,4662,4807,4655,4801,4622,4769xm4672,4807l4669,4809,4673,4809,4672,4807xm4652,4737l4626,4737,4629,4741,4631,4741,4631,4745,4636,4747,4672,4785,4679,4793,4679,4801,4681,4805,4705,4781,4703,4779,4693,4779,4652,4737xm4600,4747l4595,4751,4583,4765,4585,4771,4590,4769,4622,4769,4600,4747xm4631,4715l4626,4723,4612,4737,4617,4739,4619,4737,4652,4737,4631,4715xe" filled="true" fillcolor="#000000" stroked="false">
              <v:path arrowok="t"/>
              <v:fill type="solid"/>
            </v:shape>
            <v:shape style="position:absolute;left:4554;top:4743;width:389;height:356" type="#_x0000_t75" stroked="false">
              <v:imagedata r:id="rId104" o:title=""/>
            </v:shape>
            <v:shape style="position:absolute;left:4696;top:4720;width:1884;height:936" type="#_x0000_t75" stroked="false">
              <v:imagedata r:id="rId105" o:title=""/>
            </v:shape>
            <v:shape style="position:absolute;left:6438;top:4732;width:391;height:362" type="#_x0000_t75" stroked="false">
              <v:imagedata r:id="rId106" o:title=""/>
            </v:shape>
            <v:shape style="position:absolute;left:6513;top:4715;width:540;height:540" type="#_x0000_t75" stroked="false">
              <v:imagedata r:id="rId107" o:title=""/>
            </v:shape>
            <v:shape style="position:absolute;left:6929;top:4730;width:371;height:350" type="#_x0000_t75" stroked="false">
              <v:imagedata r:id="rId108" o:title=""/>
            </v:shape>
            <v:shape style="position:absolute;left:6957;top:4716;width:792;height:634" type="#_x0000_t75" stroked="false">
              <v:imagedata r:id="rId109" o:title=""/>
            </v:shape>
            <v:shape style="position:absolute;left:9;top:9;width:7980;height:5760" coordorigin="9,9" coordsize="7980,5760" path="m9,9l7989,9,7989,5769,9,5769,9,9,81,9e" filled="false" stroked="true" strokeweight=".84pt" strokecolor="#989898">
              <v:path arrowok="t"/>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2"/>
          <w:numId w:val="14"/>
        </w:numPr>
        <w:tabs>
          <w:tab w:pos="660" w:val="left" w:leader="none"/>
        </w:tabs>
        <w:spacing w:line="240" w:lineRule="auto" w:before="179" w:after="0"/>
        <w:ind w:left="659" w:right="0" w:hanging="540"/>
        <w:jc w:val="left"/>
        <w:rPr>
          <w:rFonts w:ascii="Palatino Linotype"/>
          <w:sz w:val="24"/>
        </w:rPr>
      </w:pPr>
      <w:r>
        <w:rPr>
          <w:rFonts w:ascii="Palatino Linotype"/>
          <w:w w:val="105"/>
          <w:sz w:val="24"/>
        </w:rPr>
        <w:t>IP</w:t>
      </w:r>
      <w:r>
        <w:rPr>
          <w:rFonts w:ascii="Palatino Linotype"/>
          <w:spacing w:val="-21"/>
          <w:w w:val="105"/>
          <w:sz w:val="24"/>
        </w:rPr>
        <w:t> </w:t>
      </w:r>
      <w:r>
        <w:rPr>
          <w:rFonts w:ascii="Palatino Linotype"/>
          <w:w w:val="105"/>
          <w:sz w:val="24"/>
        </w:rPr>
        <w:t>Findings</w:t>
      </w:r>
    </w:p>
    <w:p>
      <w:pPr>
        <w:pStyle w:val="BodyText"/>
        <w:rPr>
          <w:rFonts w:ascii="Palatino Linotype"/>
        </w:rPr>
      </w:pPr>
    </w:p>
    <w:p>
      <w:pPr>
        <w:pStyle w:val="BodyText"/>
        <w:spacing w:before="1"/>
        <w:rPr>
          <w:rFonts w:ascii="Palatino Linotype"/>
          <w:sz w:val="29"/>
        </w:rPr>
      </w:pPr>
    </w:p>
    <w:p>
      <w:pPr>
        <w:pStyle w:val="ListParagraph"/>
        <w:numPr>
          <w:ilvl w:val="3"/>
          <w:numId w:val="14"/>
        </w:numPr>
        <w:tabs>
          <w:tab w:pos="841" w:val="left" w:leader="none"/>
        </w:tabs>
        <w:spacing w:line="501" w:lineRule="auto" w:before="1" w:after="0"/>
        <w:ind w:left="839" w:right="112" w:hanging="360"/>
        <w:jc w:val="left"/>
        <w:rPr>
          <w:sz w:val="24"/>
        </w:rPr>
      </w:pPr>
      <w:r>
        <w:rPr>
          <w:w w:val="110"/>
          <w:sz w:val="24"/>
        </w:rPr>
        <w:t>The</w:t>
      </w:r>
      <w:r>
        <w:rPr>
          <w:spacing w:val="-7"/>
          <w:w w:val="110"/>
          <w:sz w:val="24"/>
        </w:rPr>
        <w:t> </w:t>
      </w:r>
      <w:r>
        <w:rPr>
          <w:w w:val="110"/>
          <w:sz w:val="24"/>
        </w:rPr>
        <w:t>Moscow</w:t>
      </w:r>
      <w:r>
        <w:rPr>
          <w:spacing w:val="-10"/>
          <w:w w:val="110"/>
          <w:sz w:val="24"/>
        </w:rPr>
        <w:t> </w:t>
      </w:r>
      <w:r>
        <w:rPr>
          <w:w w:val="110"/>
          <w:sz w:val="24"/>
        </w:rPr>
        <w:t>Laboratory</w:t>
      </w:r>
      <w:r>
        <w:rPr>
          <w:spacing w:val="-10"/>
          <w:w w:val="110"/>
          <w:sz w:val="24"/>
        </w:rPr>
        <w:t> </w:t>
      </w:r>
      <w:r>
        <w:rPr>
          <w:w w:val="110"/>
          <w:sz w:val="24"/>
        </w:rPr>
        <w:t>was</w:t>
      </w:r>
      <w:r>
        <w:rPr>
          <w:spacing w:val="-10"/>
          <w:w w:val="110"/>
          <w:sz w:val="24"/>
        </w:rPr>
        <w:t> </w:t>
      </w:r>
      <w:r>
        <w:rPr>
          <w:w w:val="110"/>
          <w:sz w:val="24"/>
        </w:rPr>
        <w:t>the</w:t>
      </w:r>
      <w:r>
        <w:rPr>
          <w:spacing w:val="-7"/>
          <w:w w:val="110"/>
          <w:sz w:val="24"/>
        </w:rPr>
        <w:t> </w:t>
      </w:r>
      <w:r>
        <w:rPr>
          <w:w w:val="110"/>
          <w:sz w:val="24"/>
        </w:rPr>
        <w:t>final</w:t>
      </w:r>
      <w:r>
        <w:rPr>
          <w:spacing w:val="-9"/>
          <w:w w:val="110"/>
          <w:sz w:val="24"/>
        </w:rPr>
        <w:t> </w:t>
      </w:r>
      <w:r>
        <w:rPr>
          <w:w w:val="110"/>
          <w:sz w:val="24"/>
        </w:rPr>
        <w:t>failsafe</w:t>
      </w:r>
      <w:r>
        <w:rPr>
          <w:spacing w:val="-7"/>
          <w:w w:val="110"/>
          <w:sz w:val="24"/>
        </w:rPr>
        <w:t> </w:t>
      </w:r>
      <w:r>
        <w:rPr>
          <w:w w:val="110"/>
          <w:sz w:val="24"/>
        </w:rPr>
        <w:t>protective</w:t>
      </w:r>
      <w:r>
        <w:rPr>
          <w:spacing w:val="-7"/>
          <w:w w:val="110"/>
          <w:sz w:val="24"/>
        </w:rPr>
        <w:t> </w:t>
      </w:r>
      <w:r>
        <w:rPr>
          <w:w w:val="110"/>
          <w:sz w:val="24"/>
        </w:rPr>
        <w:t>shield</w:t>
      </w:r>
      <w:r>
        <w:rPr>
          <w:spacing w:val="-10"/>
          <w:w w:val="110"/>
          <w:sz w:val="24"/>
        </w:rPr>
        <w:t> </w:t>
      </w:r>
      <w:r>
        <w:rPr>
          <w:w w:val="110"/>
          <w:sz w:val="24"/>
        </w:rPr>
        <w:t>in</w:t>
      </w:r>
      <w:r>
        <w:rPr>
          <w:spacing w:val="-9"/>
          <w:w w:val="110"/>
          <w:sz w:val="24"/>
        </w:rPr>
        <w:t> </w:t>
      </w:r>
      <w:r>
        <w:rPr>
          <w:w w:val="110"/>
          <w:sz w:val="24"/>
        </w:rPr>
        <w:t>the</w:t>
      </w:r>
      <w:r>
        <w:rPr>
          <w:spacing w:val="-10"/>
          <w:w w:val="110"/>
          <w:sz w:val="24"/>
        </w:rPr>
        <w:t> </w:t>
      </w:r>
      <w:r>
        <w:rPr>
          <w:w w:val="110"/>
          <w:sz w:val="24"/>
        </w:rPr>
        <w:t>State directed doping</w:t>
      </w:r>
      <w:r>
        <w:rPr>
          <w:spacing w:val="24"/>
          <w:w w:val="110"/>
          <w:sz w:val="24"/>
        </w:rPr>
        <w:t> </w:t>
      </w:r>
      <w:r>
        <w:rPr>
          <w:w w:val="110"/>
          <w:sz w:val="24"/>
        </w:rPr>
        <w:t>regime.</w:t>
      </w:r>
    </w:p>
    <w:p>
      <w:pPr>
        <w:pStyle w:val="BodyText"/>
      </w:pPr>
    </w:p>
    <w:p>
      <w:pPr>
        <w:pStyle w:val="BodyText"/>
        <w:spacing w:before="9"/>
        <w:rPr>
          <w:sz w:val="27"/>
        </w:rPr>
      </w:pPr>
    </w:p>
    <w:p>
      <w:pPr>
        <w:pStyle w:val="ListParagraph"/>
        <w:numPr>
          <w:ilvl w:val="3"/>
          <w:numId w:val="14"/>
        </w:numPr>
        <w:tabs>
          <w:tab w:pos="840" w:val="left" w:leader="none"/>
        </w:tabs>
        <w:spacing w:line="501" w:lineRule="auto" w:before="0" w:after="0"/>
        <w:ind w:left="839" w:right="109" w:hanging="360"/>
        <w:jc w:val="left"/>
        <w:rPr>
          <w:sz w:val="24"/>
        </w:rPr>
      </w:pPr>
      <w:r>
        <w:rPr>
          <w:w w:val="110"/>
          <w:sz w:val="24"/>
        </w:rPr>
        <w:t>The Ministry of Sport made the determination as to which athletes would be protected by the Disappearing Positive</w:t>
      </w:r>
      <w:r>
        <w:rPr>
          <w:spacing w:val="-4"/>
          <w:w w:val="110"/>
          <w:sz w:val="24"/>
        </w:rPr>
        <w:t> </w:t>
      </w:r>
      <w:r>
        <w:rPr>
          <w:w w:val="110"/>
          <w:sz w:val="24"/>
        </w:rPr>
        <w:t>Methodology.</w:t>
      </w:r>
    </w:p>
    <w:p>
      <w:pPr>
        <w:pStyle w:val="BodyText"/>
        <w:rPr>
          <w:sz w:val="20"/>
        </w:rPr>
      </w:pPr>
    </w:p>
    <w:p>
      <w:pPr>
        <w:pStyle w:val="BodyText"/>
        <w:spacing w:before="4"/>
        <w:rPr>
          <w:sz w:val="26"/>
        </w:rPr>
      </w:pPr>
      <w:r>
        <w:rPr/>
        <w:pict>
          <v:line style="position:absolute;mso-position-horizontal-relative:page;mso-position-vertical-relative:paragraph;z-index:1528;mso-wrap-distance-left:0;mso-wrap-distance-right:0" from="90.839996pt,17.440195pt" to="234.959996pt,17.440195pt" stroked="true" strokeweight=".600010pt" strokecolor="#000000">
            <w10:wrap type="topAndBottom"/>
          </v:line>
        </w:pict>
      </w:r>
    </w:p>
    <w:p>
      <w:pPr>
        <w:spacing w:before="81"/>
        <w:ind w:left="119" w:right="0" w:firstLine="0"/>
        <w:jc w:val="both"/>
        <w:rPr>
          <w:sz w:val="19"/>
        </w:rPr>
      </w:pPr>
      <w:r>
        <w:rPr>
          <w:w w:val="110"/>
          <w:position w:val="5"/>
          <w:sz w:val="13"/>
        </w:rPr>
        <w:t>5  </w:t>
      </w:r>
      <w:r>
        <w:rPr>
          <w:w w:val="110"/>
          <w:sz w:val="19"/>
        </w:rPr>
        <w:t>Athletics-  139, Weightlifting-  117,  Non-Olympic Sports- 37, Paralympic  Sport-35,   Wrestling-28,</w:t>
      </w:r>
    </w:p>
    <w:p>
      <w:pPr>
        <w:spacing w:line="266" w:lineRule="auto" w:before="21"/>
        <w:ind w:left="119" w:right="103" w:firstLine="0"/>
        <w:jc w:val="both"/>
        <w:rPr>
          <w:sz w:val="19"/>
        </w:rPr>
      </w:pPr>
      <w:r>
        <w:rPr>
          <w:w w:val="110"/>
          <w:sz w:val="19"/>
        </w:rPr>
        <w:t>Canoe- 27, Cycling-26, Skating-24, Swimming- 18, Ice Hockey -14, Skiing- 13, Football, Rowing- both 11, Biathlon-10, Bobsleigh, Judo, Volleyball- each 8,</w:t>
      </w:r>
      <w:r>
        <w:rPr>
          <w:spacing w:val="52"/>
          <w:w w:val="110"/>
          <w:sz w:val="19"/>
        </w:rPr>
        <w:t> </w:t>
      </w:r>
      <w:r>
        <w:rPr>
          <w:w w:val="110"/>
          <w:sz w:val="19"/>
        </w:rPr>
        <w:t>Boxing,</w:t>
      </w:r>
      <w:r>
        <w:rPr>
          <w:spacing w:val="52"/>
          <w:w w:val="110"/>
          <w:sz w:val="19"/>
        </w:rPr>
        <w:t> </w:t>
      </w:r>
      <w:r>
        <w:rPr>
          <w:w w:val="110"/>
          <w:sz w:val="19"/>
        </w:rPr>
        <w:t>Handball</w:t>
      </w:r>
      <w:r>
        <w:rPr>
          <w:spacing w:val="52"/>
          <w:w w:val="110"/>
          <w:sz w:val="19"/>
        </w:rPr>
        <w:t> </w:t>
      </w:r>
      <w:r>
        <w:rPr>
          <w:w w:val="125"/>
          <w:sz w:val="19"/>
        </w:rPr>
        <w:t>-  </w:t>
      </w:r>
      <w:r>
        <w:rPr>
          <w:w w:val="110"/>
          <w:sz w:val="19"/>
        </w:rPr>
        <w:t>both</w:t>
      </w:r>
      <w:r>
        <w:rPr>
          <w:spacing w:val="52"/>
          <w:w w:val="110"/>
          <w:sz w:val="19"/>
        </w:rPr>
        <w:t> </w:t>
      </w:r>
      <w:r>
        <w:rPr>
          <w:w w:val="110"/>
          <w:sz w:val="19"/>
        </w:rPr>
        <w:t>7, Taekwondo-6, Fencing, Triathlon-</w:t>
      </w:r>
      <w:r>
        <w:rPr>
          <w:spacing w:val="52"/>
          <w:w w:val="110"/>
          <w:sz w:val="19"/>
        </w:rPr>
        <w:t> </w:t>
      </w:r>
      <w:r>
        <w:rPr>
          <w:w w:val="110"/>
          <w:sz w:val="19"/>
        </w:rPr>
        <w:t>both</w:t>
      </w:r>
      <w:r>
        <w:rPr>
          <w:spacing w:val="52"/>
          <w:w w:val="110"/>
          <w:sz w:val="19"/>
        </w:rPr>
        <w:t> </w:t>
      </w:r>
      <w:r>
        <w:rPr>
          <w:w w:val="110"/>
          <w:sz w:val="19"/>
        </w:rPr>
        <w:t>4,</w:t>
      </w:r>
      <w:r>
        <w:rPr>
          <w:spacing w:val="52"/>
          <w:w w:val="110"/>
          <w:sz w:val="19"/>
        </w:rPr>
        <w:t> </w:t>
      </w:r>
      <w:r>
        <w:rPr>
          <w:w w:val="110"/>
          <w:sz w:val="19"/>
        </w:rPr>
        <w:t>Modern</w:t>
      </w:r>
      <w:r>
        <w:rPr>
          <w:spacing w:val="52"/>
          <w:w w:val="110"/>
          <w:sz w:val="19"/>
        </w:rPr>
        <w:t> </w:t>
      </w:r>
      <w:r>
        <w:rPr>
          <w:w w:val="110"/>
          <w:sz w:val="19"/>
        </w:rPr>
        <w:t>Pentathlon,</w:t>
      </w:r>
      <w:r>
        <w:rPr>
          <w:spacing w:val="52"/>
          <w:w w:val="110"/>
          <w:sz w:val="19"/>
        </w:rPr>
        <w:t> </w:t>
      </w:r>
      <w:r>
        <w:rPr>
          <w:w w:val="110"/>
          <w:sz w:val="19"/>
        </w:rPr>
        <w:t>Shooting-</w:t>
      </w:r>
      <w:r>
        <w:rPr>
          <w:spacing w:val="52"/>
          <w:w w:val="110"/>
          <w:sz w:val="19"/>
        </w:rPr>
        <w:t> </w:t>
      </w:r>
      <w:r>
        <w:rPr>
          <w:w w:val="110"/>
          <w:sz w:val="19"/>
        </w:rPr>
        <w:t>both</w:t>
      </w:r>
      <w:r>
        <w:rPr>
          <w:spacing w:val="52"/>
          <w:w w:val="110"/>
          <w:sz w:val="19"/>
        </w:rPr>
        <w:t> </w:t>
      </w:r>
      <w:r>
        <w:rPr>
          <w:w w:val="110"/>
          <w:sz w:val="19"/>
        </w:rPr>
        <w:t>3,</w:t>
      </w:r>
      <w:r>
        <w:rPr>
          <w:spacing w:val="52"/>
          <w:w w:val="110"/>
          <w:sz w:val="19"/>
        </w:rPr>
        <w:t> </w:t>
      </w:r>
      <w:r>
        <w:rPr>
          <w:w w:val="110"/>
          <w:sz w:val="19"/>
        </w:rPr>
        <w:t>Beach Volleyball, Curling- both 2, Basketball, Sailing, Snowboard, Table Tennis, Water Polo- each 1</w:t>
      </w:r>
    </w:p>
    <w:p>
      <w:pPr>
        <w:spacing w:after="0" w:line="266" w:lineRule="auto"/>
        <w:jc w:val="both"/>
        <w:rPr>
          <w:sz w:val="19"/>
        </w:rPr>
        <w:sectPr>
          <w:pgSz w:w="12240" w:h="15840"/>
          <w:pgMar w:header="0" w:footer="705" w:top="1460" w:bottom="900" w:left="1700" w:right="1680"/>
        </w:sectPr>
      </w:pPr>
    </w:p>
    <w:p>
      <w:pPr>
        <w:pStyle w:val="ListParagraph"/>
        <w:numPr>
          <w:ilvl w:val="0"/>
          <w:numId w:val="15"/>
        </w:numPr>
        <w:tabs>
          <w:tab w:pos="840" w:val="left" w:leader="none"/>
        </w:tabs>
        <w:spacing w:line="511" w:lineRule="auto" w:before="20" w:after="0"/>
        <w:ind w:left="839" w:right="108" w:hanging="360"/>
        <w:jc w:val="left"/>
        <w:rPr>
          <w:rFonts w:ascii="Georgia"/>
          <w:sz w:val="24"/>
        </w:rPr>
      </w:pPr>
      <w:r>
        <w:rPr>
          <w:rFonts w:ascii="Georgia"/>
          <w:sz w:val="24"/>
        </w:rPr>
        <w:t>The Deputy Minister of Sport in his discretion made the save or  quarantine</w:t>
      </w:r>
      <w:r>
        <w:rPr>
          <w:rFonts w:ascii="Georgia"/>
          <w:spacing w:val="-21"/>
          <w:sz w:val="24"/>
        </w:rPr>
        <w:t> </w:t>
      </w:r>
      <w:r>
        <w:rPr>
          <w:rFonts w:ascii="Georgia"/>
          <w:sz w:val="24"/>
        </w:rPr>
        <w:t>order.</w:t>
      </w:r>
    </w:p>
    <w:p>
      <w:pPr>
        <w:pStyle w:val="BodyText"/>
        <w:rPr>
          <w:rFonts w:ascii="Georgia"/>
        </w:rPr>
      </w:pPr>
    </w:p>
    <w:p>
      <w:pPr>
        <w:pStyle w:val="BodyText"/>
        <w:spacing w:before="7"/>
        <w:rPr>
          <w:rFonts w:ascii="Georgia"/>
          <w:sz w:val="26"/>
        </w:rPr>
      </w:pPr>
    </w:p>
    <w:p>
      <w:pPr>
        <w:pStyle w:val="ListParagraph"/>
        <w:numPr>
          <w:ilvl w:val="0"/>
          <w:numId w:val="15"/>
        </w:numPr>
        <w:tabs>
          <w:tab w:pos="841" w:val="left" w:leader="none"/>
        </w:tabs>
        <w:spacing w:line="506" w:lineRule="auto" w:before="1" w:after="0"/>
        <w:ind w:left="839" w:right="109" w:hanging="360"/>
        <w:jc w:val="left"/>
        <w:rPr>
          <w:rFonts w:ascii="Georgia"/>
          <w:sz w:val="24"/>
        </w:rPr>
      </w:pPr>
      <w:r>
        <w:rPr>
          <w:rFonts w:ascii="Georgia"/>
          <w:sz w:val="24"/>
        </w:rPr>
        <w:t>The Disappearing Positive Methodology was planned and operated over a period from at least late 2011 until August</w:t>
      </w:r>
      <w:r>
        <w:rPr>
          <w:rFonts w:ascii="Georgia"/>
          <w:spacing w:val="-22"/>
          <w:sz w:val="24"/>
        </w:rPr>
        <w:t> </w:t>
      </w:r>
      <w:r>
        <w:rPr>
          <w:rFonts w:ascii="Georgia"/>
          <w:sz w:val="24"/>
        </w:rPr>
        <w:t>2015.</w:t>
      </w:r>
    </w:p>
    <w:p>
      <w:pPr>
        <w:pStyle w:val="BodyText"/>
        <w:rPr>
          <w:rFonts w:ascii="Georgia"/>
        </w:rPr>
      </w:pPr>
    </w:p>
    <w:p>
      <w:pPr>
        <w:pStyle w:val="BodyText"/>
        <w:spacing w:before="1"/>
        <w:rPr>
          <w:rFonts w:ascii="Georgia"/>
          <w:sz w:val="27"/>
        </w:rPr>
      </w:pPr>
    </w:p>
    <w:p>
      <w:pPr>
        <w:pStyle w:val="ListParagraph"/>
        <w:numPr>
          <w:ilvl w:val="0"/>
          <w:numId w:val="15"/>
        </w:numPr>
        <w:tabs>
          <w:tab w:pos="841" w:val="left" w:leader="none"/>
        </w:tabs>
        <w:spacing w:line="511" w:lineRule="auto" w:before="1" w:after="0"/>
        <w:ind w:left="839" w:right="105" w:hanging="360"/>
        <w:jc w:val="left"/>
        <w:rPr>
          <w:rFonts w:ascii="Georgia"/>
          <w:sz w:val="24"/>
        </w:rPr>
      </w:pPr>
      <w:r>
        <w:rPr>
          <w:rFonts w:ascii="Georgia"/>
          <w:sz w:val="24"/>
        </w:rPr>
        <w:t>Russian athletes from the vast majority of summer and winter Olympic sports benefited from the Disappearing Positive</w:t>
      </w:r>
      <w:r>
        <w:rPr>
          <w:rFonts w:ascii="Georgia"/>
          <w:spacing w:val="21"/>
          <w:sz w:val="24"/>
        </w:rPr>
        <w:t> </w:t>
      </w:r>
      <w:r>
        <w:rPr>
          <w:rFonts w:ascii="Georgia"/>
          <w:sz w:val="24"/>
        </w:rPr>
        <w:t>Methodology.</w:t>
      </w:r>
    </w:p>
    <w:p>
      <w:pPr>
        <w:pStyle w:val="BodyText"/>
        <w:rPr>
          <w:rFonts w:ascii="Georgia"/>
        </w:rPr>
      </w:pPr>
    </w:p>
    <w:p>
      <w:pPr>
        <w:pStyle w:val="BodyText"/>
        <w:rPr>
          <w:rFonts w:ascii="Georgia"/>
        </w:rPr>
      </w:pPr>
    </w:p>
    <w:p>
      <w:pPr>
        <w:pStyle w:val="ListParagraph"/>
        <w:numPr>
          <w:ilvl w:val="1"/>
          <w:numId w:val="16"/>
        </w:numPr>
        <w:tabs>
          <w:tab w:pos="479" w:val="left" w:leader="none"/>
        </w:tabs>
        <w:spacing w:line="240" w:lineRule="auto" w:before="195" w:after="0"/>
        <w:ind w:left="478" w:right="0" w:hanging="359"/>
        <w:jc w:val="both"/>
        <w:rPr>
          <w:rFonts w:ascii="Palatino Linotype"/>
          <w:sz w:val="24"/>
        </w:rPr>
      </w:pPr>
      <w:r>
        <w:rPr>
          <w:rFonts w:ascii="Palatino Linotype"/>
          <w:w w:val="105"/>
          <w:sz w:val="24"/>
        </w:rPr>
        <w:t>Events</w:t>
      </w:r>
      <w:r>
        <w:rPr>
          <w:rFonts w:ascii="Palatino Linotype"/>
          <w:spacing w:val="-24"/>
          <w:w w:val="105"/>
          <w:sz w:val="24"/>
        </w:rPr>
        <w:t> </w:t>
      </w:r>
      <w:r>
        <w:rPr>
          <w:rFonts w:ascii="Palatino Linotype"/>
          <w:w w:val="105"/>
          <w:sz w:val="24"/>
        </w:rPr>
        <w:t>of</w:t>
      </w:r>
      <w:r>
        <w:rPr>
          <w:rFonts w:ascii="Palatino Linotype"/>
          <w:spacing w:val="-20"/>
          <w:w w:val="105"/>
          <w:sz w:val="24"/>
        </w:rPr>
        <w:t> </w:t>
      </w:r>
      <w:r>
        <w:rPr>
          <w:rFonts w:ascii="Palatino Linotype"/>
          <w:w w:val="105"/>
          <w:sz w:val="24"/>
        </w:rPr>
        <w:t>Autumn</w:t>
      </w:r>
      <w:r>
        <w:rPr>
          <w:rFonts w:ascii="Palatino Linotype"/>
          <w:spacing w:val="-23"/>
          <w:w w:val="105"/>
          <w:sz w:val="24"/>
        </w:rPr>
        <w:t> </w:t>
      </w:r>
      <w:r>
        <w:rPr>
          <w:rFonts w:ascii="Palatino Linotype"/>
          <w:w w:val="105"/>
          <w:sz w:val="24"/>
        </w:rPr>
        <w:t>2014</w:t>
      </w:r>
      <w:r>
        <w:rPr>
          <w:rFonts w:ascii="Palatino Linotype"/>
          <w:spacing w:val="-22"/>
          <w:w w:val="105"/>
          <w:sz w:val="24"/>
        </w:rPr>
        <w:t> </w:t>
      </w:r>
      <w:r>
        <w:rPr>
          <w:rFonts w:ascii="Palatino Linotype"/>
          <w:w w:val="105"/>
          <w:sz w:val="24"/>
        </w:rPr>
        <w:t>and</w:t>
      </w:r>
      <w:r>
        <w:rPr>
          <w:rFonts w:ascii="Palatino Linotype"/>
          <w:spacing w:val="-22"/>
          <w:w w:val="105"/>
          <w:sz w:val="24"/>
        </w:rPr>
        <w:t> </w:t>
      </w:r>
      <w:r>
        <w:rPr>
          <w:rFonts w:ascii="Palatino Linotype"/>
          <w:w w:val="105"/>
          <w:sz w:val="24"/>
        </w:rPr>
        <w:t>the</w:t>
      </w:r>
      <w:r>
        <w:rPr>
          <w:rFonts w:ascii="Palatino Linotype"/>
          <w:spacing w:val="-22"/>
          <w:w w:val="105"/>
          <w:sz w:val="24"/>
        </w:rPr>
        <w:t> </w:t>
      </w:r>
      <w:r>
        <w:rPr>
          <w:rFonts w:ascii="Palatino Linotype"/>
          <w:w w:val="105"/>
          <w:sz w:val="24"/>
        </w:rPr>
        <w:t>37</w:t>
      </w:r>
      <w:r>
        <w:rPr>
          <w:rFonts w:ascii="Palatino Linotype"/>
          <w:spacing w:val="-22"/>
          <w:w w:val="105"/>
          <w:sz w:val="24"/>
        </w:rPr>
        <w:t> </w:t>
      </w:r>
      <w:r>
        <w:rPr>
          <w:rFonts w:ascii="Palatino Linotype"/>
          <w:w w:val="105"/>
          <w:sz w:val="24"/>
        </w:rPr>
        <w:t>Samples</w:t>
      </w:r>
    </w:p>
    <w:p>
      <w:pPr>
        <w:pStyle w:val="BodyText"/>
        <w:rPr>
          <w:rFonts w:ascii="Palatino Linotype"/>
        </w:rPr>
      </w:pPr>
    </w:p>
    <w:p>
      <w:pPr>
        <w:pStyle w:val="BodyText"/>
        <w:spacing w:line="508" w:lineRule="auto" w:before="166"/>
        <w:ind w:left="119" w:right="107"/>
        <w:jc w:val="both"/>
        <w:rPr>
          <w:rFonts w:ascii="Georgia"/>
        </w:rPr>
      </w:pPr>
      <w:r>
        <w:rPr>
          <w:rFonts w:ascii="Georgia"/>
        </w:rPr>
        <w:t>Further evidence of the Disappearing Positive Methodology was discovered through the IP's investigation into samples taken during the second half of 2014. On 07 December 2014, WADA wrote to Dr. Rodchenkov to advise him of a surprise inspection of the Moscow Laboratory. It was communicated to him that this visit would also involve removing samples held by the Laboratory and that  he was to secure the stored samples in advance of WADA's </w:t>
      </w:r>
      <w:r>
        <w:rPr>
          <w:rFonts w:ascii="Georgia"/>
          <w:spacing w:val="34"/>
        </w:rPr>
        <w:t> </w:t>
      </w:r>
      <w:r>
        <w:rPr>
          <w:rFonts w:ascii="Georgia"/>
        </w:rPr>
        <w:t>arrival.</w:t>
      </w:r>
    </w:p>
    <w:p>
      <w:pPr>
        <w:pStyle w:val="BodyText"/>
        <w:rPr>
          <w:rFonts w:ascii="Georgia"/>
        </w:rPr>
      </w:pPr>
    </w:p>
    <w:p>
      <w:pPr>
        <w:pStyle w:val="BodyText"/>
        <w:spacing w:before="10"/>
        <w:rPr>
          <w:rFonts w:ascii="Georgia"/>
          <w:sz w:val="26"/>
        </w:rPr>
      </w:pPr>
    </w:p>
    <w:p>
      <w:pPr>
        <w:pStyle w:val="BodyText"/>
        <w:spacing w:line="508" w:lineRule="auto"/>
        <w:ind w:left="119" w:right="107"/>
        <w:jc w:val="both"/>
        <w:rPr>
          <w:rFonts w:ascii="Georgia"/>
        </w:rPr>
      </w:pPr>
      <w:r>
        <w:rPr>
          <w:rFonts w:ascii="Georgia"/>
        </w:rPr>
        <w:t>Dr. Rodchenkov has acknowledged in interviews that WADA's visit caused significant anxiety at both the Laboratory and MofS because of the large quantity of positive but reported as negatives samples stored at the Laboratory. This was reported in detail by the IC. While these samples had been covered up using the Disappearing Positive Methodology, the fear was that if retests were conducted</w:t>
      </w:r>
    </w:p>
    <w:p>
      <w:pPr>
        <w:spacing w:after="0" w:line="508" w:lineRule="auto"/>
        <w:jc w:val="both"/>
        <w:rPr>
          <w:rFonts w:ascii="Georgia"/>
        </w:rPr>
        <w:sectPr>
          <w:pgSz w:w="12240" w:h="15840"/>
          <w:pgMar w:header="0" w:footer="705" w:top="1440" w:bottom="900" w:left="1700" w:right="1680"/>
        </w:sectPr>
      </w:pPr>
    </w:p>
    <w:p>
      <w:pPr>
        <w:pStyle w:val="BodyText"/>
        <w:spacing w:line="508" w:lineRule="auto" w:before="20"/>
        <w:ind w:left="119" w:right="108"/>
        <w:jc w:val="both"/>
        <w:rPr>
          <w:rFonts w:ascii="Georgia"/>
        </w:rPr>
      </w:pPr>
      <w:r>
        <w:rPr>
          <w:rFonts w:ascii="Georgia"/>
        </w:rPr>
        <w:t>on them, the samples would retest positive and would expose the system. The IC has reported on how, in advance of the WADA visit, Dr. Rodchenkov destroyed 1417 samples analysed more than 90 days before 10 September 2016. As a result of the IP investigation the reason for doing so is now known.</w:t>
      </w:r>
    </w:p>
    <w:p>
      <w:pPr>
        <w:pStyle w:val="BodyText"/>
        <w:rPr>
          <w:rFonts w:ascii="Georgia"/>
        </w:rPr>
      </w:pPr>
    </w:p>
    <w:p>
      <w:pPr>
        <w:pStyle w:val="BodyText"/>
        <w:spacing w:before="10"/>
        <w:rPr>
          <w:rFonts w:ascii="Georgia"/>
          <w:sz w:val="26"/>
        </w:rPr>
      </w:pPr>
    </w:p>
    <w:p>
      <w:pPr>
        <w:pStyle w:val="BodyText"/>
        <w:spacing w:line="508" w:lineRule="auto"/>
        <w:ind w:left="119" w:right="106"/>
        <w:jc w:val="both"/>
        <w:rPr>
          <w:rFonts w:ascii="Georgia"/>
        </w:rPr>
      </w:pPr>
      <w:r>
        <w:rPr>
          <w:rFonts w:ascii="Georgia"/>
        </w:rPr>
        <w:t>Dr. Rodchenkov explained to the IP that even with the destruction of the old samples, the Laboratory was still at risk of being discovered and exposed. Of the remaining samples not destroyed by the Laboratory,  37 were positive samples  for which a negative report had been made in ADAMS following  the  Disappearing Positive Methodology. These were the samples that were going to be collected by </w:t>
      </w:r>
      <w:r>
        <w:rPr>
          <w:rFonts w:ascii="Georgia"/>
          <w:spacing w:val="5"/>
        </w:rPr>
        <w:t> </w:t>
      </w:r>
      <w:r>
        <w:rPr>
          <w:rFonts w:ascii="Georgia"/>
        </w:rPr>
        <w:t>WADA.</w:t>
      </w:r>
    </w:p>
    <w:p>
      <w:pPr>
        <w:pStyle w:val="BodyText"/>
        <w:rPr>
          <w:rFonts w:ascii="Georgia"/>
        </w:rPr>
      </w:pPr>
    </w:p>
    <w:p>
      <w:pPr>
        <w:pStyle w:val="BodyText"/>
        <w:spacing w:before="9"/>
        <w:rPr>
          <w:rFonts w:ascii="Georgia"/>
          <w:sz w:val="26"/>
        </w:rPr>
      </w:pPr>
    </w:p>
    <w:p>
      <w:pPr>
        <w:pStyle w:val="BodyText"/>
        <w:spacing w:line="508" w:lineRule="auto"/>
        <w:ind w:left="119" w:right="106"/>
        <w:jc w:val="both"/>
        <w:rPr>
          <w:rFonts w:ascii="Georgia"/>
        </w:rPr>
      </w:pPr>
      <w:r>
        <w:rPr>
          <w:rFonts w:ascii="Georgia"/>
        </w:rPr>
        <w:t>Dr. Rodchenkov took this problem to Deputy Minister Nagornykh. They met the evening of 12 December 2014 at the MofS offices, prior to the WADA visit on 17 December 2014. It was decided that the reported results on some of the samples could be explained. As to the remaining samples, Dr. Rodchenkov recalls that Deputy Minister Nagornykh stated that he would arrange for the "magicians" to come. Dr. Rodchenkov understood that Deputy Minister Nagornykh  was referring to the FSB as the "magicians".</w:t>
      </w:r>
    </w:p>
    <w:p>
      <w:pPr>
        <w:pStyle w:val="BodyText"/>
        <w:rPr>
          <w:rFonts w:ascii="Georgia"/>
        </w:rPr>
      </w:pPr>
    </w:p>
    <w:p>
      <w:pPr>
        <w:pStyle w:val="BodyText"/>
        <w:spacing w:before="10"/>
        <w:rPr>
          <w:rFonts w:ascii="Georgia"/>
          <w:sz w:val="26"/>
        </w:rPr>
      </w:pPr>
    </w:p>
    <w:p>
      <w:pPr>
        <w:pStyle w:val="BodyText"/>
        <w:spacing w:line="511" w:lineRule="auto"/>
        <w:ind w:left="119" w:right="108"/>
        <w:jc w:val="both"/>
        <w:rPr>
          <w:rFonts w:ascii="Georgia"/>
        </w:rPr>
      </w:pPr>
      <w:r>
        <w:rPr>
          <w:rFonts w:ascii="Georgia"/>
        </w:rPr>
        <w:t>Later that evening of 12 December 2014, FSB Blokhin, the FSB agent monitoring the</w:t>
      </w:r>
      <w:r>
        <w:rPr>
          <w:rFonts w:ascii="Georgia"/>
          <w:spacing w:val="-8"/>
        </w:rPr>
        <w:t> </w:t>
      </w:r>
      <w:r>
        <w:rPr>
          <w:rFonts w:ascii="Georgia"/>
        </w:rPr>
        <w:t>activities</w:t>
      </w:r>
      <w:r>
        <w:rPr>
          <w:rFonts w:ascii="Georgia"/>
          <w:spacing w:val="-8"/>
        </w:rPr>
        <w:t> </w:t>
      </w:r>
      <w:r>
        <w:rPr>
          <w:rFonts w:ascii="Georgia"/>
        </w:rPr>
        <w:t>within</w:t>
      </w:r>
      <w:r>
        <w:rPr>
          <w:rFonts w:ascii="Georgia"/>
          <w:spacing w:val="-6"/>
        </w:rPr>
        <w:t> </w:t>
      </w:r>
      <w:r>
        <w:rPr>
          <w:rFonts w:ascii="Georgia"/>
        </w:rPr>
        <w:t>the</w:t>
      </w:r>
      <w:r>
        <w:rPr>
          <w:rFonts w:ascii="Georgia"/>
          <w:spacing w:val="-8"/>
        </w:rPr>
        <w:t> </w:t>
      </w:r>
      <w:r>
        <w:rPr>
          <w:rFonts w:ascii="Georgia"/>
        </w:rPr>
        <w:t>Laboratory</w:t>
      </w:r>
      <w:r>
        <w:rPr>
          <w:rFonts w:ascii="Georgia"/>
          <w:spacing w:val="-5"/>
        </w:rPr>
        <w:t> </w:t>
      </w:r>
      <w:r>
        <w:rPr>
          <w:rFonts w:ascii="Georgia"/>
        </w:rPr>
        <w:t>(See</w:t>
      </w:r>
      <w:r>
        <w:rPr>
          <w:rFonts w:ascii="Georgia"/>
          <w:spacing w:val="-5"/>
        </w:rPr>
        <w:t> </w:t>
      </w:r>
      <w:r>
        <w:rPr>
          <w:rFonts w:ascii="Georgia"/>
        </w:rPr>
        <w:t>IC</w:t>
      </w:r>
      <w:r>
        <w:rPr>
          <w:rFonts w:ascii="Georgia"/>
          <w:spacing w:val="-7"/>
        </w:rPr>
        <w:t> </w:t>
      </w:r>
      <w:r>
        <w:rPr>
          <w:rFonts w:ascii="Georgia"/>
        </w:rPr>
        <w:t>Report)</w:t>
      </w:r>
      <w:r>
        <w:rPr>
          <w:rFonts w:ascii="Georgia"/>
          <w:spacing w:val="-7"/>
        </w:rPr>
        <w:t> </w:t>
      </w:r>
      <w:r>
        <w:rPr>
          <w:rFonts w:ascii="Georgia"/>
        </w:rPr>
        <w:t>arranged</w:t>
      </w:r>
      <w:r>
        <w:rPr>
          <w:rFonts w:ascii="Georgia"/>
          <w:spacing w:val="-5"/>
        </w:rPr>
        <w:t> </w:t>
      </w:r>
      <w:r>
        <w:rPr>
          <w:rFonts w:ascii="Georgia"/>
        </w:rPr>
        <w:t>for</w:t>
      </w:r>
      <w:r>
        <w:rPr>
          <w:rFonts w:ascii="Georgia"/>
          <w:spacing w:val="-6"/>
        </w:rPr>
        <w:t> </w:t>
      </w:r>
      <w:r>
        <w:rPr>
          <w:rFonts w:ascii="Georgia"/>
        </w:rPr>
        <w:t>other</w:t>
      </w:r>
      <w:r>
        <w:rPr>
          <w:rFonts w:ascii="Georgia"/>
          <w:spacing w:val="-6"/>
        </w:rPr>
        <w:t> </w:t>
      </w:r>
      <w:r>
        <w:rPr>
          <w:rFonts w:ascii="Georgia"/>
        </w:rPr>
        <w:t>FSB</w:t>
      </w:r>
      <w:r>
        <w:rPr>
          <w:rFonts w:ascii="Georgia"/>
          <w:spacing w:val="-6"/>
        </w:rPr>
        <w:t> </w:t>
      </w:r>
      <w:r>
        <w:rPr>
          <w:rFonts w:ascii="Georgia"/>
        </w:rPr>
        <w:t>agents</w:t>
      </w:r>
    </w:p>
    <w:p>
      <w:pPr>
        <w:spacing w:after="0" w:line="511" w:lineRule="auto"/>
        <w:jc w:val="both"/>
        <w:rPr>
          <w:rFonts w:ascii="Georgia"/>
        </w:rPr>
        <w:sectPr>
          <w:pgSz w:w="12240" w:h="15840"/>
          <w:pgMar w:header="0" w:footer="705" w:top="1440" w:bottom="900" w:left="1700" w:right="1680"/>
        </w:sectPr>
      </w:pPr>
    </w:p>
    <w:p>
      <w:pPr>
        <w:pStyle w:val="BodyText"/>
        <w:spacing w:line="508" w:lineRule="auto" w:before="20"/>
        <w:ind w:left="119" w:right="108"/>
        <w:jc w:val="both"/>
        <w:rPr>
          <w:rFonts w:ascii="Georgia"/>
        </w:rPr>
      </w:pPr>
      <w:r>
        <w:rPr>
          <w:rFonts w:ascii="Georgia"/>
        </w:rPr>
        <w:t>to enter the Laboratory. No Laboratory staff witnessed the FSB's presence in the Laboratory, however the next morning the caps of the remaining samples were opened so that the urine in them could be swapped.</w:t>
      </w:r>
    </w:p>
    <w:p>
      <w:pPr>
        <w:pStyle w:val="BodyText"/>
        <w:rPr>
          <w:rFonts w:ascii="Georgia"/>
        </w:rPr>
      </w:pPr>
    </w:p>
    <w:p>
      <w:pPr>
        <w:pStyle w:val="BodyText"/>
        <w:spacing w:before="10"/>
        <w:rPr>
          <w:rFonts w:ascii="Georgia"/>
          <w:sz w:val="26"/>
        </w:rPr>
      </w:pPr>
    </w:p>
    <w:p>
      <w:pPr>
        <w:pStyle w:val="BodyText"/>
        <w:spacing w:line="508" w:lineRule="auto"/>
        <w:ind w:left="119" w:right="107"/>
        <w:jc w:val="both"/>
        <w:rPr>
          <w:rFonts w:ascii="Georgia"/>
        </w:rPr>
      </w:pPr>
      <w:r>
        <w:rPr>
          <w:rFonts w:ascii="Georgia"/>
        </w:rPr>
        <w:t>According to Dr. Rodchenkov, there was not enough time to find clean urine  from the remaining athletes to substitute for the positive samples. Instead, his staff had to find clean urine previously provided by other athletes that  adequately matched the profile of the positive samples. He stated that in the limited period of time they had to substitute the positive samples, they used any clean athletes' urine which they could find stored in the Laboratory. Dr. Rodchenkov and laboratory staff then adjusted the clean urine with salt, diluted  it with water and/or adjusted the creatinine levels to match the original profile    as much as possible. He also stated that 2 athletes' urine may be in the same bottle. After the swapping had been accomplished the caps were then screwed back onto the bottles securing the replaced</w:t>
      </w:r>
      <w:r>
        <w:rPr>
          <w:rFonts w:ascii="Georgia"/>
          <w:spacing w:val="-36"/>
        </w:rPr>
        <w:t> </w:t>
      </w:r>
      <w:r>
        <w:rPr>
          <w:rFonts w:ascii="Georgia"/>
        </w:rPr>
        <w:t>urine.</w:t>
      </w:r>
    </w:p>
    <w:p>
      <w:pPr>
        <w:pStyle w:val="BodyText"/>
        <w:rPr>
          <w:rFonts w:ascii="Georgia"/>
        </w:rPr>
      </w:pPr>
    </w:p>
    <w:p>
      <w:pPr>
        <w:pStyle w:val="BodyText"/>
        <w:rPr>
          <w:rFonts w:ascii="Georgia"/>
          <w:sz w:val="27"/>
        </w:rPr>
      </w:pPr>
    </w:p>
    <w:p>
      <w:pPr>
        <w:pStyle w:val="BodyText"/>
        <w:spacing w:line="508" w:lineRule="auto"/>
        <w:ind w:left="119" w:right="107"/>
        <w:jc w:val="both"/>
        <w:rPr>
          <w:rFonts w:ascii="Georgia"/>
        </w:rPr>
      </w:pPr>
      <w:r>
        <w:rPr>
          <w:rFonts w:ascii="Georgia"/>
        </w:rPr>
        <w:t>After WADA officials arrived at the Moscow Laboratory, they removed all of the samples, post 10 September 2014, and had them transported to the WADA accredited Laboratory in Lausanne, Switzerland.</w:t>
      </w:r>
    </w:p>
    <w:p>
      <w:pPr>
        <w:spacing w:after="0" w:line="508" w:lineRule="auto"/>
        <w:jc w:val="both"/>
        <w:rPr>
          <w:rFonts w:ascii="Georgia"/>
        </w:rPr>
        <w:sectPr>
          <w:pgSz w:w="12240" w:h="15840"/>
          <w:pgMar w:header="0" w:footer="705" w:top="1440" w:bottom="900" w:left="1700" w:right="1680"/>
        </w:sectPr>
      </w:pPr>
    </w:p>
    <w:p>
      <w:pPr>
        <w:pStyle w:val="ListParagraph"/>
        <w:numPr>
          <w:ilvl w:val="1"/>
          <w:numId w:val="16"/>
        </w:numPr>
        <w:tabs>
          <w:tab w:pos="479" w:val="left" w:leader="none"/>
        </w:tabs>
        <w:spacing w:line="307" w:lineRule="exact" w:before="0" w:after="0"/>
        <w:ind w:left="478" w:right="0" w:hanging="359"/>
        <w:jc w:val="both"/>
        <w:rPr>
          <w:rFonts w:ascii="Palatino Linotype"/>
          <w:sz w:val="24"/>
        </w:rPr>
      </w:pPr>
      <w:r>
        <w:rPr>
          <w:rFonts w:ascii="Palatino Linotype"/>
          <w:w w:val="105"/>
          <w:sz w:val="24"/>
        </w:rPr>
        <w:t>Forensic</w:t>
      </w:r>
      <w:r>
        <w:rPr>
          <w:rFonts w:ascii="Palatino Linotype"/>
          <w:spacing w:val="-16"/>
          <w:w w:val="105"/>
          <w:sz w:val="24"/>
        </w:rPr>
        <w:t> </w:t>
      </w:r>
      <w:r>
        <w:rPr>
          <w:rFonts w:ascii="Palatino Linotype"/>
          <w:w w:val="105"/>
          <w:sz w:val="24"/>
        </w:rPr>
        <w:t>Testing</w:t>
      </w:r>
      <w:r>
        <w:rPr>
          <w:rFonts w:ascii="Palatino Linotype"/>
          <w:spacing w:val="-14"/>
          <w:w w:val="105"/>
          <w:sz w:val="24"/>
        </w:rPr>
        <w:t> </w:t>
      </w:r>
      <w:r>
        <w:rPr>
          <w:rFonts w:ascii="Palatino Linotype"/>
          <w:w w:val="105"/>
          <w:sz w:val="24"/>
        </w:rPr>
        <w:t>of</w:t>
      </w:r>
      <w:r>
        <w:rPr>
          <w:rFonts w:ascii="Palatino Linotype"/>
          <w:spacing w:val="-13"/>
          <w:w w:val="105"/>
          <w:sz w:val="24"/>
        </w:rPr>
        <w:t> </w:t>
      </w:r>
      <w:r>
        <w:rPr>
          <w:rFonts w:ascii="Palatino Linotype"/>
          <w:w w:val="105"/>
          <w:sz w:val="24"/>
        </w:rPr>
        <w:t>the</w:t>
      </w:r>
      <w:r>
        <w:rPr>
          <w:rFonts w:ascii="Palatino Linotype"/>
          <w:spacing w:val="-14"/>
          <w:w w:val="105"/>
          <w:sz w:val="24"/>
        </w:rPr>
        <w:t> </w:t>
      </w:r>
      <w:r>
        <w:rPr>
          <w:rFonts w:ascii="Palatino Linotype"/>
          <w:w w:val="105"/>
          <w:sz w:val="24"/>
        </w:rPr>
        <w:t>37</w:t>
      </w:r>
      <w:r>
        <w:rPr>
          <w:rFonts w:ascii="Palatino Linotype"/>
          <w:spacing w:val="-14"/>
          <w:w w:val="105"/>
          <w:sz w:val="24"/>
        </w:rPr>
        <w:t> </w:t>
      </w:r>
      <w:r>
        <w:rPr>
          <w:rFonts w:ascii="Palatino Linotype"/>
          <w:w w:val="105"/>
          <w:sz w:val="24"/>
        </w:rPr>
        <w:t>Samples</w:t>
      </w:r>
    </w:p>
    <w:p>
      <w:pPr>
        <w:pStyle w:val="BodyText"/>
        <w:rPr>
          <w:rFonts w:ascii="Palatino Linotype"/>
        </w:rPr>
      </w:pPr>
    </w:p>
    <w:p>
      <w:pPr>
        <w:pStyle w:val="BodyText"/>
        <w:spacing w:before="1"/>
        <w:rPr>
          <w:rFonts w:ascii="Palatino Linotype"/>
          <w:sz w:val="19"/>
        </w:rPr>
      </w:pPr>
    </w:p>
    <w:p>
      <w:pPr>
        <w:pStyle w:val="BodyText"/>
        <w:spacing w:line="508" w:lineRule="auto"/>
        <w:ind w:left="119" w:right="106"/>
        <w:jc w:val="both"/>
        <w:rPr>
          <w:rFonts w:ascii="Georgia"/>
        </w:rPr>
      </w:pPr>
      <w:r>
        <w:rPr>
          <w:rFonts w:ascii="Georgia"/>
        </w:rPr>
        <w:t>Dr. Rodchenkov has provided a schedule of the 37 samples described above to  the IP. The IP has checked the authenticity of the schedule and is satisfied that it is a contemporaneous document. The sample numbers have also been cross- checked against digital communications in the IP's possession. The IP investigation found a 28 of the 37 of the total samples in the database under the IP's control were directly related to SAVE orders from Liaison  person  Velikodniy.  A review the IP conducted in ADAMS found that all were reported   as negative findings. This corroborates Dr. Rodchenkov's evidence that the 37 samples were covered up with the sample swapping methodology discussed in Chapter 5 in connection with the Sochi</w:t>
      </w:r>
      <w:r>
        <w:rPr>
          <w:rFonts w:ascii="Georgia"/>
          <w:spacing w:val="-26"/>
        </w:rPr>
        <w:t> </w:t>
      </w:r>
      <w:r>
        <w:rPr>
          <w:rFonts w:ascii="Georgia"/>
        </w:rPr>
        <w:t>Games.</w:t>
      </w:r>
    </w:p>
    <w:p>
      <w:pPr>
        <w:pStyle w:val="BodyText"/>
        <w:rPr>
          <w:rFonts w:ascii="Georgia"/>
        </w:rPr>
      </w:pPr>
    </w:p>
    <w:p>
      <w:pPr>
        <w:pStyle w:val="BodyText"/>
        <w:spacing w:before="10"/>
        <w:rPr>
          <w:rFonts w:ascii="Georgia"/>
          <w:sz w:val="26"/>
        </w:rPr>
      </w:pPr>
    </w:p>
    <w:p>
      <w:pPr>
        <w:pStyle w:val="BodyText"/>
        <w:spacing w:line="508" w:lineRule="auto"/>
        <w:ind w:left="119" w:right="108"/>
        <w:jc w:val="both"/>
        <w:rPr>
          <w:rFonts w:ascii="Georgia"/>
        </w:rPr>
      </w:pPr>
      <w:r>
        <w:rPr>
          <w:rFonts w:ascii="Georgia"/>
        </w:rPr>
        <w:t>The IP investigative staff arranged for a forensic examination of the samples, of which a total of 26 were found in the Lausanne laboratory and transported under secure chain of custody conditions to London, UK at the Kings College Doping Control  Centre ("DCC").</w:t>
      </w:r>
    </w:p>
    <w:p>
      <w:pPr>
        <w:pStyle w:val="BodyText"/>
        <w:rPr>
          <w:rFonts w:ascii="Georgia"/>
        </w:rPr>
      </w:pPr>
    </w:p>
    <w:p>
      <w:pPr>
        <w:pStyle w:val="BodyText"/>
        <w:spacing w:before="10"/>
        <w:rPr>
          <w:rFonts w:ascii="Georgia"/>
          <w:sz w:val="26"/>
        </w:rPr>
      </w:pPr>
    </w:p>
    <w:p>
      <w:pPr>
        <w:pStyle w:val="BodyText"/>
        <w:spacing w:line="508" w:lineRule="auto"/>
        <w:ind w:left="119" w:right="106"/>
        <w:jc w:val="both"/>
        <w:rPr>
          <w:rFonts w:ascii="Georgia"/>
        </w:rPr>
      </w:pPr>
      <w:r>
        <w:rPr>
          <w:rFonts w:ascii="Georgia"/>
        </w:rPr>
        <w:t>The 26 Moscow B bottles were examined by a "scratches and marks" expert with over 20 years' experience engaged by a highly respected international testing organisation. This involved microscopic examination of B bottles from the Moscow Laboratory. The expert was also requested to establish whether caps could be removed from sealed bottles without apparent signs of tampering.</w:t>
      </w:r>
    </w:p>
    <w:p>
      <w:pPr>
        <w:spacing w:after="0" w:line="508" w:lineRule="auto"/>
        <w:jc w:val="both"/>
        <w:rPr>
          <w:rFonts w:ascii="Georgia"/>
        </w:rPr>
        <w:sectPr>
          <w:pgSz w:w="12240" w:h="15840"/>
          <w:pgMar w:header="0" w:footer="705" w:top="1440" w:bottom="900" w:left="1700" w:right="1680"/>
        </w:sectPr>
      </w:pPr>
    </w:p>
    <w:p>
      <w:pPr>
        <w:pStyle w:val="BodyText"/>
        <w:rPr>
          <w:rFonts w:ascii="Georgia"/>
          <w:sz w:val="20"/>
        </w:rPr>
      </w:pPr>
    </w:p>
    <w:p>
      <w:pPr>
        <w:pStyle w:val="BodyText"/>
        <w:rPr>
          <w:rFonts w:ascii="Georgia"/>
        </w:rPr>
      </w:pPr>
    </w:p>
    <w:p>
      <w:pPr>
        <w:pStyle w:val="BodyText"/>
        <w:spacing w:line="508" w:lineRule="auto" w:before="40"/>
        <w:ind w:left="119" w:right="107"/>
        <w:jc w:val="both"/>
        <w:rPr>
          <w:rFonts w:ascii="Georgia"/>
        </w:rPr>
      </w:pPr>
      <w:r>
        <w:rPr>
          <w:rFonts w:ascii="Georgia"/>
          <w:w w:val="105"/>
        </w:rPr>
        <w:t>Further</w:t>
      </w:r>
      <w:r>
        <w:rPr>
          <w:rFonts w:ascii="Georgia"/>
          <w:spacing w:val="-17"/>
          <w:w w:val="105"/>
        </w:rPr>
        <w:t> </w:t>
      </w:r>
      <w:r>
        <w:rPr>
          <w:rFonts w:ascii="Georgia"/>
          <w:w w:val="105"/>
        </w:rPr>
        <w:t>analytical</w:t>
      </w:r>
      <w:r>
        <w:rPr>
          <w:rFonts w:ascii="Georgia"/>
          <w:spacing w:val="-15"/>
          <w:w w:val="105"/>
        </w:rPr>
        <w:t> </w:t>
      </w:r>
      <w:r>
        <w:rPr>
          <w:rFonts w:ascii="Georgia"/>
          <w:w w:val="105"/>
        </w:rPr>
        <w:t>tests</w:t>
      </w:r>
      <w:r>
        <w:rPr>
          <w:rFonts w:ascii="Georgia"/>
          <w:spacing w:val="-15"/>
          <w:w w:val="105"/>
        </w:rPr>
        <w:t> </w:t>
      </w:r>
      <w:r>
        <w:rPr>
          <w:rFonts w:ascii="Georgia"/>
          <w:w w:val="105"/>
        </w:rPr>
        <w:t>on</w:t>
      </w:r>
      <w:r>
        <w:rPr>
          <w:rFonts w:ascii="Georgia"/>
          <w:spacing w:val="-15"/>
          <w:w w:val="105"/>
        </w:rPr>
        <w:t> </w:t>
      </w:r>
      <w:r>
        <w:rPr>
          <w:rFonts w:ascii="Georgia"/>
          <w:w w:val="105"/>
        </w:rPr>
        <w:t>the</w:t>
      </w:r>
      <w:r>
        <w:rPr>
          <w:rFonts w:ascii="Georgia"/>
          <w:spacing w:val="-15"/>
          <w:w w:val="105"/>
        </w:rPr>
        <w:t> </w:t>
      </w:r>
      <w:r>
        <w:rPr>
          <w:rFonts w:ascii="Georgia"/>
          <w:w w:val="105"/>
        </w:rPr>
        <w:t>related</w:t>
      </w:r>
      <w:r>
        <w:rPr>
          <w:rFonts w:ascii="Georgia"/>
          <w:spacing w:val="-17"/>
          <w:w w:val="105"/>
        </w:rPr>
        <w:t> </w:t>
      </w:r>
      <w:r>
        <w:rPr>
          <w:rFonts w:ascii="Georgia"/>
          <w:w w:val="105"/>
        </w:rPr>
        <w:t>A</w:t>
      </w:r>
      <w:r>
        <w:rPr>
          <w:rFonts w:ascii="Georgia"/>
          <w:spacing w:val="-14"/>
          <w:w w:val="105"/>
        </w:rPr>
        <w:t> </w:t>
      </w:r>
      <w:r>
        <w:rPr>
          <w:rFonts w:ascii="Georgia"/>
          <w:w w:val="105"/>
        </w:rPr>
        <w:t>bottle</w:t>
      </w:r>
      <w:r>
        <w:rPr>
          <w:rFonts w:ascii="Georgia"/>
          <w:spacing w:val="-17"/>
          <w:w w:val="105"/>
        </w:rPr>
        <w:t> </w:t>
      </w:r>
      <w:r>
        <w:rPr>
          <w:rFonts w:ascii="Georgia"/>
          <w:w w:val="105"/>
        </w:rPr>
        <w:t>contents</w:t>
      </w:r>
      <w:r>
        <w:rPr>
          <w:rFonts w:ascii="Georgia"/>
          <w:spacing w:val="-17"/>
          <w:w w:val="105"/>
        </w:rPr>
        <w:t> </w:t>
      </w:r>
      <w:r>
        <w:rPr>
          <w:rFonts w:ascii="Georgia"/>
          <w:w w:val="105"/>
        </w:rPr>
        <w:t>were</w:t>
      </w:r>
      <w:r>
        <w:rPr>
          <w:rFonts w:ascii="Georgia"/>
          <w:spacing w:val="-16"/>
          <w:w w:val="105"/>
        </w:rPr>
        <w:t> </w:t>
      </w:r>
      <w:r>
        <w:rPr>
          <w:rFonts w:ascii="Georgia"/>
          <w:w w:val="105"/>
        </w:rPr>
        <w:t>undertaken</w:t>
      </w:r>
      <w:r>
        <w:rPr>
          <w:rFonts w:ascii="Georgia"/>
          <w:spacing w:val="-15"/>
          <w:w w:val="105"/>
        </w:rPr>
        <w:t> </w:t>
      </w:r>
      <w:r>
        <w:rPr>
          <w:rFonts w:ascii="Georgia"/>
          <w:w w:val="105"/>
        </w:rPr>
        <w:t>by</w:t>
      </w:r>
      <w:r>
        <w:rPr>
          <w:rFonts w:ascii="Georgia"/>
          <w:spacing w:val="-17"/>
          <w:w w:val="105"/>
        </w:rPr>
        <w:t> </w:t>
      </w:r>
      <w:r>
        <w:rPr>
          <w:rFonts w:ascii="Georgia"/>
          <w:w w:val="105"/>
        </w:rPr>
        <w:t>the DCC</w:t>
      </w:r>
      <w:r>
        <w:rPr>
          <w:rFonts w:ascii="Georgia"/>
          <w:spacing w:val="-8"/>
          <w:w w:val="105"/>
        </w:rPr>
        <w:t> </w:t>
      </w:r>
      <w:r>
        <w:rPr>
          <w:rFonts w:ascii="Georgia"/>
          <w:w w:val="105"/>
        </w:rPr>
        <w:t>for</w:t>
      </w:r>
      <w:r>
        <w:rPr>
          <w:rFonts w:ascii="Georgia"/>
          <w:spacing w:val="-6"/>
          <w:w w:val="105"/>
        </w:rPr>
        <w:t> </w:t>
      </w:r>
      <w:r>
        <w:rPr>
          <w:rFonts w:ascii="Georgia"/>
          <w:w w:val="105"/>
        </w:rPr>
        <w:t>DNA,</w:t>
      </w:r>
      <w:r>
        <w:rPr>
          <w:rFonts w:ascii="Georgia"/>
          <w:spacing w:val="-8"/>
          <w:w w:val="105"/>
        </w:rPr>
        <w:t> </w:t>
      </w:r>
      <w:r>
        <w:rPr>
          <w:rFonts w:ascii="Georgia"/>
          <w:w w:val="105"/>
        </w:rPr>
        <w:t>salt</w:t>
      </w:r>
      <w:r>
        <w:rPr>
          <w:rFonts w:ascii="Georgia"/>
          <w:spacing w:val="-7"/>
          <w:w w:val="105"/>
        </w:rPr>
        <w:t> </w:t>
      </w:r>
      <w:r>
        <w:rPr>
          <w:rFonts w:ascii="Georgia"/>
          <w:w w:val="105"/>
        </w:rPr>
        <w:t>content,</w:t>
      </w:r>
      <w:r>
        <w:rPr>
          <w:rFonts w:ascii="Georgia"/>
          <w:spacing w:val="-8"/>
          <w:w w:val="105"/>
        </w:rPr>
        <w:t> </w:t>
      </w:r>
      <w:r>
        <w:rPr>
          <w:rFonts w:ascii="Georgia"/>
          <w:w w:val="105"/>
        </w:rPr>
        <w:t>creatinine</w:t>
      </w:r>
      <w:r>
        <w:rPr>
          <w:rFonts w:ascii="Georgia"/>
          <w:spacing w:val="-8"/>
          <w:w w:val="105"/>
        </w:rPr>
        <w:t> </w:t>
      </w:r>
      <w:r>
        <w:rPr>
          <w:rFonts w:ascii="Georgia"/>
          <w:w w:val="105"/>
        </w:rPr>
        <w:t>and</w:t>
      </w:r>
      <w:r>
        <w:rPr>
          <w:rFonts w:ascii="Georgia"/>
          <w:spacing w:val="-8"/>
          <w:w w:val="105"/>
        </w:rPr>
        <w:t> </w:t>
      </w:r>
      <w:r>
        <w:rPr>
          <w:rFonts w:ascii="Georgia"/>
          <w:w w:val="105"/>
        </w:rPr>
        <w:t>steroid</w:t>
      </w:r>
      <w:r>
        <w:rPr>
          <w:rFonts w:ascii="Georgia"/>
          <w:spacing w:val="-8"/>
          <w:w w:val="105"/>
        </w:rPr>
        <w:t> </w:t>
      </w:r>
      <w:r>
        <w:rPr>
          <w:rFonts w:ascii="Georgia"/>
          <w:w w:val="105"/>
        </w:rPr>
        <w:t>profile.</w:t>
      </w:r>
      <w:r>
        <w:rPr>
          <w:rFonts w:ascii="Georgia"/>
          <w:spacing w:val="-8"/>
          <w:w w:val="105"/>
        </w:rPr>
        <w:t> </w:t>
      </w:r>
      <w:r>
        <w:rPr>
          <w:rFonts w:ascii="Georgia"/>
          <w:w w:val="105"/>
        </w:rPr>
        <w:t>As</w:t>
      </w:r>
      <w:r>
        <w:rPr>
          <w:rFonts w:ascii="Georgia"/>
          <w:spacing w:val="-7"/>
          <w:w w:val="105"/>
        </w:rPr>
        <w:t> </w:t>
      </w:r>
      <w:r>
        <w:rPr>
          <w:rFonts w:ascii="Georgia"/>
          <w:w w:val="105"/>
        </w:rPr>
        <w:t>previously</w:t>
      </w:r>
      <w:r>
        <w:rPr>
          <w:rFonts w:ascii="Georgia"/>
          <w:spacing w:val="-8"/>
          <w:w w:val="105"/>
        </w:rPr>
        <w:t> </w:t>
      </w:r>
      <w:r>
        <w:rPr>
          <w:rFonts w:ascii="Georgia"/>
          <w:w w:val="105"/>
        </w:rPr>
        <w:t>noted, Dr. Rodchenkov's evidence was that salt was sometimes added to the clean replacement</w:t>
      </w:r>
      <w:r>
        <w:rPr>
          <w:rFonts w:ascii="Georgia"/>
          <w:spacing w:val="-26"/>
          <w:w w:val="105"/>
        </w:rPr>
        <w:t> </w:t>
      </w:r>
      <w:r>
        <w:rPr>
          <w:rFonts w:ascii="Georgia"/>
          <w:w w:val="105"/>
        </w:rPr>
        <w:t>urine</w:t>
      </w:r>
      <w:r>
        <w:rPr>
          <w:rFonts w:ascii="Georgia"/>
          <w:spacing w:val="-27"/>
          <w:w w:val="105"/>
        </w:rPr>
        <w:t> </w:t>
      </w:r>
      <w:r>
        <w:rPr>
          <w:rFonts w:ascii="Georgia"/>
          <w:w w:val="105"/>
        </w:rPr>
        <w:t>where</w:t>
      </w:r>
      <w:r>
        <w:rPr>
          <w:rFonts w:ascii="Georgia"/>
          <w:spacing w:val="-26"/>
          <w:w w:val="105"/>
        </w:rPr>
        <w:t> </w:t>
      </w:r>
      <w:r>
        <w:rPr>
          <w:rFonts w:ascii="Georgia"/>
          <w:w w:val="105"/>
        </w:rPr>
        <w:t>necessary</w:t>
      </w:r>
      <w:r>
        <w:rPr>
          <w:rFonts w:ascii="Georgia"/>
          <w:spacing w:val="-28"/>
          <w:w w:val="105"/>
        </w:rPr>
        <w:t> </w:t>
      </w:r>
      <w:r>
        <w:rPr>
          <w:rFonts w:ascii="Georgia"/>
          <w:w w:val="105"/>
        </w:rPr>
        <w:t>to</w:t>
      </w:r>
      <w:r>
        <w:rPr>
          <w:rFonts w:ascii="Georgia"/>
          <w:spacing w:val="-25"/>
          <w:w w:val="105"/>
        </w:rPr>
        <w:t> </w:t>
      </w:r>
      <w:r>
        <w:rPr>
          <w:rFonts w:ascii="Georgia"/>
          <w:w w:val="105"/>
        </w:rPr>
        <w:t>raise</w:t>
      </w:r>
      <w:r>
        <w:rPr>
          <w:rFonts w:ascii="Georgia"/>
          <w:spacing w:val="-27"/>
          <w:w w:val="105"/>
        </w:rPr>
        <w:t> </w:t>
      </w:r>
      <w:r>
        <w:rPr>
          <w:rFonts w:ascii="Georgia"/>
          <w:w w:val="105"/>
        </w:rPr>
        <w:t>the</w:t>
      </w:r>
      <w:r>
        <w:rPr>
          <w:rFonts w:ascii="Georgia"/>
          <w:spacing w:val="-27"/>
          <w:w w:val="105"/>
        </w:rPr>
        <w:t> </w:t>
      </w:r>
      <w:r>
        <w:rPr>
          <w:rFonts w:ascii="Georgia"/>
          <w:w w:val="105"/>
        </w:rPr>
        <w:t>SG</w:t>
      </w:r>
      <w:r>
        <w:rPr>
          <w:rFonts w:ascii="Georgia"/>
          <w:spacing w:val="-27"/>
          <w:w w:val="105"/>
        </w:rPr>
        <w:t> </w:t>
      </w:r>
      <w:r>
        <w:rPr>
          <w:rFonts w:ascii="Georgia"/>
          <w:w w:val="105"/>
        </w:rPr>
        <w:t>of</w:t>
      </w:r>
      <w:r>
        <w:rPr>
          <w:rFonts w:ascii="Georgia"/>
          <w:spacing w:val="-26"/>
          <w:w w:val="105"/>
        </w:rPr>
        <w:t> </w:t>
      </w:r>
      <w:r>
        <w:rPr>
          <w:rFonts w:ascii="Georgia"/>
          <w:w w:val="105"/>
        </w:rPr>
        <w:t>the</w:t>
      </w:r>
      <w:r>
        <w:rPr>
          <w:rFonts w:ascii="Georgia"/>
          <w:spacing w:val="-27"/>
          <w:w w:val="105"/>
        </w:rPr>
        <w:t> </w:t>
      </w:r>
      <w:r>
        <w:rPr>
          <w:rFonts w:ascii="Georgia"/>
          <w:w w:val="105"/>
        </w:rPr>
        <w:t>sample</w:t>
      </w:r>
      <w:r>
        <w:rPr>
          <w:rFonts w:ascii="Georgia"/>
          <w:spacing w:val="-27"/>
          <w:w w:val="105"/>
        </w:rPr>
        <w:t> </w:t>
      </w:r>
      <w:r>
        <w:rPr>
          <w:rFonts w:ascii="Georgia"/>
          <w:w w:val="105"/>
        </w:rPr>
        <w:t>to</w:t>
      </w:r>
      <w:r>
        <w:rPr>
          <w:rFonts w:ascii="Georgia"/>
          <w:spacing w:val="-25"/>
          <w:w w:val="105"/>
        </w:rPr>
        <w:t> </w:t>
      </w:r>
      <w:r>
        <w:rPr>
          <w:rFonts w:ascii="Georgia"/>
          <w:w w:val="105"/>
        </w:rPr>
        <w:t>be</w:t>
      </w:r>
      <w:r>
        <w:rPr>
          <w:rFonts w:ascii="Georgia"/>
          <w:spacing w:val="-27"/>
          <w:w w:val="105"/>
        </w:rPr>
        <w:t> </w:t>
      </w:r>
      <w:r>
        <w:rPr>
          <w:rFonts w:ascii="Georgia"/>
          <w:w w:val="105"/>
        </w:rPr>
        <w:t>consistent with</w:t>
      </w:r>
      <w:r>
        <w:rPr>
          <w:rFonts w:ascii="Georgia"/>
          <w:spacing w:val="-31"/>
          <w:w w:val="105"/>
        </w:rPr>
        <w:t> </w:t>
      </w:r>
      <w:r>
        <w:rPr>
          <w:rFonts w:ascii="Georgia"/>
          <w:w w:val="105"/>
        </w:rPr>
        <w:t>the</w:t>
      </w:r>
      <w:r>
        <w:rPr>
          <w:rFonts w:ascii="Georgia"/>
          <w:spacing w:val="-31"/>
          <w:w w:val="105"/>
        </w:rPr>
        <w:t> </w:t>
      </w:r>
      <w:r>
        <w:rPr>
          <w:rFonts w:ascii="Georgia"/>
          <w:w w:val="105"/>
        </w:rPr>
        <w:t>SG</w:t>
      </w:r>
      <w:r>
        <w:rPr>
          <w:rFonts w:ascii="Georgia"/>
          <w:spacing w:val="-31"/>
          <w:w w:val="105"/>
        </w:rPr>
        <w:t> </w:t>
      </w:r>
      <w:r>
        <w:rPr>
          <w:rFonts w:ascii="Georgia"/>
          <w:w w:val="105"/>
        </w:rPr>
        <w:t>reported</w:t>
      </w:r>
      <w:r>
        <w:rPr>
          <w:rFonts w:ascii="Georgia"/>
          <w:spacing w:val="-31"/>
          <w:w w:val="105"/>
        </w:rPr>
        <w:t> </w:t>
      </w:r>
      <w:r>
        <w:rPr>
          <w:rFonts w:ascii="Georgia"/>
          <w:w w:val="105"/>
        </w:rPr>
        <w:t>on</w:t>
      </w:r>
      <w:r>
        <w:rPr>
          <w:rFonts w:ascii="Georgia"/>
          <w:spacing w:val="-31"/>
          <w:w w:val="105"/>
        </w:rPr>
        <w:t> </w:t>
      </w:r>
      <w:r>
        <w:rPr>
          <w:rFonts w:ascii="Georgia"/>
          <w:w w:val="105"/>
        </w:rPr>
        <w:t>the</w:t>
      </w:r>
      <w:r>
        <w:rPr>
          <w:rFonts w:ascii="Georgia"/>
          <w:spacing w:val="-31"/>
          <w:w w:val="105"/>
        </w:rPr>
        <w:t> </w:t>
      </w:r>
      <w:r>
        <w:rPr>
          <w:rFonts w:ascii="Georgia"/>
          <w:w w:val="105"/>
        </w:rPr>
        <w:t>initial</w:t>
      </w:r>
      <w:r>
        <w:rPr>
          <w:rFonts w:ascii="Georgia"/>
          <w:spacing w:val="-31"/>
          <w:w w:val="105"/>
        </w:rPr>
        <w:t> </w:t>
      </w:r>
      <w:r>
        <w:rPr>
          <w:rFonts w:ascii="Georgia"/>
          <w:w w:val="105"/>
        </w:rPr>
        <w:t>DCF.</w:t>
      </w:r>
    </w:p>
    <w:p>
      <w:pPr>
        <w:pStyle w:val="BodyText"/>
        <w:rPr>
          <w:rFonts w:ascii="Georgia"/>
        </w:rPr>
      </w:pPr>
    </w:p>
    <w:p>
      <w:pPr>
        <w:pStyle w:val="BodyText"/>
        <w:spacing w:before="10"/>
        <w:rPr>
          <w:rFonts w:ascii="Georgia"/>
          <w:sz w:val="26"/>
        </w:rPr>
      </w:pPr>
    </w:p>
    <w:p>
      <w:pPr>
        <w:pStyle w:val="BodyText"/>
        <w:spacing w:line="508" w:lineRule="auto"/>
        <w:ind w:left="119" w:right="108"/>
        <w:jc w:val="both"/>
        <w:rPr>
          <w:rFonts w:ascii="Georgia"/>
        </w:rPr>
      </w:pPr>
      <w:r>
        <w:rPr>
          <w:rFonts w:ascii="Georgia"/>
        </w:rPr>
        <w:t>The IP was presented with compelling evidence from this forensic and analytical examination which corroborates important parts of Dr. Rodchenkov's evidence  as</w:t>
      </w:r>
      <w:r>
        <w:rPr>
          <w:rFonts w:ascii="Georgia"/>
          <w:spacing w:val="4"/>
        </w:rPr>
        <w:t> </w:t>
      </w:r>
      <w:r>
        <w:rPr>
          <w:rFonts w:ascii="Georgia"/>
        </w:rPr>
        <w:t>follows:</w:t>
      </w:r>
    </w:p>
    <w:p>
      <w:pPr>
        <w:pStyle w:val="BodyText"/>
        <w:rPr>
          <w:rFonts w:ascii="Georgia"/>
        </w:rPr>
      </w:pPr>
    </w:p>
    <w:p>
      <w:pPr>
        <w:pStyle w:val="BodyText"/>
        <w:spacing w:before="10"/>
        <w:rPr>
          <w:rFonts w:ascii="Georgia"/>
          <w:sz w:val="26"/>
        </w:rPr>
      </w:pPr>
    </w:p>
    <w:p>
      <w:pPr>
        <w:pStyle w:val="ListParagraph"/>
        <w:numPr>
          <w:ilvl w:val="2"/>
          <w:numId w:val="16"/>
        </w:numPr>
        <w:tabs>
          <w:tab w:pos="840" w:val="left" w:leader="none"/>
        </w:tabs>
        <w:spacing w:line="508" w:lineRule="auto" w:before="0" w:after="0"/>
        <w:ind w:left="839" w:right="106" w:hanging="360"/>
        <w:jc w:val="both"/>
        <w:rPr>
          <w:rFonts w:ascii="Georgia"/>
          <w:sz w:val="24"/>
        </w:rPr>
      </w:pPr>
      <w:r>
        <w:rPr>
          <w:rFonts w:ascii="Georgia"/>
          <w:sz w:val="24"/>
        </w:rPr>
        <w:t>The scratches and marks expert advised that he was able to remove the  cap from a sealed bottle leaving some minor scratches and marks that  were not visible to the untrained eye, but which could be clearly seen under microscopic examination. The IP was given a graphic personal demonstration of the work of the</w:t>
      </w:r>
      <w:r>
        <w:rPr>
          <w:rFonts w:ascii="Georgia"/>
          <w:spacing w:val="-11"/>
          <w:sz w:val="24"/>
        </w:rPr>
        <w:t> </w:t>
      </w:r>
      <w:r>
        <w:rPr>
          <w:rFonts w:ascii="Georgia"/>
          <w:sz w:val="24"/>
        </w:rPr>
        <w:t>expert.</w:t>
      </w:r>
    </w:p>
    <w:p>
      <w:pPr>
        <w:pStyle w:val="BodyText"/>
        <w:rPr>
          <w:rFonts w:ascii="Georgia"/>
        </w:rPr>
      </w:pPr>
    </w:p>
    <w:p>
      <w:pPr>
        <w:pStyle w:val="BodyText"/>
        <w:spacing w:before="10"/>
        <w:rPr>
          <w:rFonts w:ascii="Georgia"/>
          <w:sz w:val="26"/>
        </w:rPr>
      </w:pPr>
    </w:p>
    <w:p>
      <w:pPr>
        <w:pStyle w:val="ListParagraph"/>
        <w:numPr>
          <w:ilvl w:val="2"/>
          <w:numId w:val="16"/>
        </w:numPr>
        <w:tabs>
          <w:tab w:pos="841" w:val="left" w:leader="none"/>
        </w:tabs>
        <w:spacing w:line="240" w:lineRule="auto" w:before="0" w:after="0"/>
        <w:ind w:left="840" w:right="0" w:hanging="361"/>
        <w:jc w:val="left"/>
        <w:rPr>
          <w:rFonts w:ascii="Georgia"/>
          <w:sz w:val="24"/>
        </w:rPr>
      </w:pPr>
      <w:r>
        <w:rPr>
          <w:rFonts w:ascii="Georgia"/>
          <w:sz w:val="24"/>
        </w:rPr>
        <w:t>The  expert  was asked to  examine half  of the batch of  26 sample </w:t>
      </w:r>
      <w:r>
        <w:rPr>
          <w:rFonts w:ascii="Georgia"/>
          <w:spacing w:val="27"/>
          <w:sz w:val="24"/>
        </w:rPr>
        <w:t> </w:t>
      </w:r>
      <w:r>
        <w:rPr>
          <w:rFonts w:ascii="Georgia"/>
          <w:sz w:val="24"/>
        </w:rPr>
        <w:t>bottles.</w:t>
      </w:r>
    </w:p>
    <w:p>
      <w:pPr>
        <w:pStyle w:val="BodyText"/>
        <w:spacing w:before="1"/>
        <w:rPr>
          <w:rFonts w:ascii="Georgia"/>
          <w:sz w:val="27"/>
        </w:rPr>
      </w:pPr>
    </w:p>
    <w:p>
      <w:pPr>
        <w:pStyle w:val="BodyText"/>
        <w:spacing w:line="508" w:lineRule="auto"/>
        <w:ind w:left="839" w:right="107"/>
        <w:jc w:val="both"/>
        <w:rPr>
          <w:rFonts w:ascii="Georgia"/>
        </w:rPr>
      </w:pPr>
      <w:r>
        <w:rPr>
          <w:rFonts w:ascii="Georgia"/>
        </w:rPr>
        <w:t>Included in the 13 for testing was one of the bottles that Dr. Rodchenkov advised had not been opened. The expert was not told the number of the non-opened bottle.</w:t>
      </w:r>
    </w:p>
    <w:p>
      <w:pPr>
        <w:spacing w:after="0" w:line="508" w:lineRule="auto"/>
        <w:jc w:val="both"/>
        <w:rPr>
          <w:rFonts w:ascii="Georgia"/>
        </w:rPr>
        <w:sectPr>
          <w:pgSz w:w="12240" w:h="15840"/>
          <w:pgMar w:header="0" w:footer="705" w:top="1500" w:bottom="900" w:left="1700" w:right="1680"/>
        </w:sectPr>
      </w:pPr>
    </w:p>
    <w:p>
      <w:pPr>
        <w:pStyle w:val="ListParagraph"/>
        <w:numPr>
          <w:ilvl w:val="0"/>
          <w:numId w:val="17"/>
        </w:numPr>
        <w:tabs>
          <w:tab w:pos="820" w:val="left" w:leader="none"/>
        </w:tabs>
        <w:spacing w:line="504" w:lineRule="auto" w:before="16" w:after="0"/>
        <w:ind w:left="819" w:right="106" w:hanging="360"/>
        <w:jc w:val="both"/>
        <w:rPr>
          <w:sz w:val="24"/>
        </w:rPr>
      </w:pPr>
      <w:r>
        <w:rPr>
          <w:w w:val="110"/>
          <w:sz w:val="24"/>
        </w:rPr>
        <w:t>The examination revealed that under microscopic examination of the 13 bottles, 12 showed scratches and marks on the inner side of the cap consistent with trying to remove the cap. These scratches and marks correlated with the expert's own successful attempts to  remove  bottle caps. A signed statement has been obtained. This evidence corroborates Dr. Rodchenkov's testimony to the</w:t>
      </w:r>
      <w:r>
        <w:rPr>
          <w:spacing w:val="-21"/>
          <w:w w:val="110"/>
          <w:sz w:val="24"/>
        </w:rPr>
        <w:t> </w:t>
      </w:r>
      <w:r>
        <w:rPr>
          <w:w w:val="110"/>
          <w:sz w:val="24"/>
        </w:rPr>
        <w:t>IP.</w:t>
      </w:r>
    </w:p>
    <w:p>
      <w:pPr>
        <w:pStyle w:val="BodyText"/>
      </w:pPr>
    </w:p>
    <w:p>
      <w:pPr>
        <w:pStyle w:val="BodyText"/>
        <w:spacing w:before="2"/>
        <w:rPr>
          <w:sz w:val="27"/>
        </w:rPr>
      </w:pPr>
    </w:p>
    <w:p>
      <w:pPr>
        <w:pStyle w:val="ListParagraph"/>
        <w:numPr>
          <w:ilvl w:val="0"/>
          <w:numId w:val="17"/>
        </w:numPr>
        <w:tabs>
          <w:tab w:pos="820" w:val="left" w:leader="none"/>
        </w:tabs>
        <w:spacing w:line="504" w:lineRule="auto" w:before="0" w:after="0"/>
        <w:ind w:left="819" w:right="106" w:hanging="360"/>
        <w:jc w:val="both"/>
        <w:rPr>
          <w:sz w:val="24"/>
        </w:rPr>
      </w:pPr>
      <w:r>
        <w:rPr>
          <w:w w:val="110"/>
          <w:sz w:val="24"/>
        </w:rPr>
        <w:t>The 13</w:t>
      </w:r>
      <w:r>
        <w:rPr>
          <w:w w:val="110"/>
          <w:position w:val="6"/>
          <w:sz w:val="16"/>
        </w:rPr>
        <w:t>th </w:t>
      </w:r>
      <w:r>
        <w:rPr>
          <w:w w:val="110"/>
          <w:sz w:val="24"/>
        </w:rPr>
        <w:t>bottle was examined by the expert at random amongst the batch and was found not to have any scratches and marks. In the  expert's opinion it had not been opened. This further corroborates Dr. Rodchenkov's evidence to the</w:t>
      </w:r>
      <w:r>
        <w:rPr>
          <w:spacing w:val="-11"/>
          <w:w w:val="110"/>
          <w:sz w:val="24"/>
        </w:rPr>
        <w:t> </w:t>
      </w:r>
      <w:r>
        <w:rPr>
          <w:w w:val="110"/>
          <w:sz w:val="24"/>
        </w:rPr>
        <w:t>IP.</w:t>
      </w:r>
    </w:p>
    <w:p>
      <w:pPr>
        <w:pStyle w:val="BodyText"/>
      </w:pPr>
    </w:p>
    <w:p>
      <w:pPr>
        <w:pStyle w:val="BodyText"/>
        <w:rPr>
          <w:sz w:val="27"/>
        </w:rPr>
      </w:pPr>
    </w:p>
    <w:p>
      <w:pPr>
        <w:pStyle w:val="ListParagraph"/>
        <w:numPr>
          <w:ilvl w:val="0"/>
          <w:numId w:val="17"/>
        </w:numPr>
        <w:tabs>
          <w:tab w:pos="821" w:val="left" w:leader="none"/>
        </w:tabs>
        <w:spacing w:line="240" w:lineRule="auto" w:before="1" w:after="0"/>
        <w:ind w:left="820" w:right="0" w:hanging="361"/>
        <w:jc w:val="left"/>
        <w:rPr>
          <w:sz w:val="24"/>
        </w:rPr>
      </w:pPr>
      <w:r>
        <w:rPr>
          <w:w w:val="110"/>
          <w:sz w:val="24"/>
        </w:rPr>
        <w:t>A urine examination was carried out by the DCC on all</w:t>
      </w:r>
      <w:r>
        <w:rPr>
          <w:spacing w:val="-37"/>
          <w:w w:val="110"/>
          <w:sz w:val="24"/>
        </w:rPr>
        <w:t> </w:t>
      </w:r>
      <w:r>
        <w:rPr>
          <w:w w:val="110"/>
          <w:sz w:val="24"/>
        </w:rPr>
        <w:t>bottles.</w:t>
      </w:r>
    </w:p>
    <w:p>
      <w:pPr>
        <w:pStyle w:val="BodyText"/>
      </w:pPr>
    </w:p>
    <w:p>
      <w:pPr>
        <w:pStyle w:val="BodyText"/>
      </w:pPr>
    </w:p>
    <w:p>
      <w:pPr>
        <w:pStyle w:val="BodyText"/>
        <w:spacing w:before="6"/>
        <w:rPr>
          <w:sz w:val="28"/>
        </w:rPr>
      </w:pPr>
    </w:p>
    <w:p>
      <w:pPr>
        <w:pStyle w:val="ListParagraph"/>
        <w:numPr>
          <w:ilvl w:val="0"/>
          <w:numId w:val="17"/>
        </w:numPr>
        <w:tabs>
          <w:tab w:pos="821" w:val="left" w:leader="none"/>
        </w:tabs>
        <w:spacing w:line="504" w:lineRule="auto" w:before="1" w:after="0"/>
        <w:ind w:left="819" w:right="107" w:hanging="360"/>
        <w:jc w:val="both"/>
        <w:rPr>
          <w:sz w:val="24"/>
        </w:rPr>
      </w:pPr>
      <w:r>
        <w:rPr>
          <w:w w:val="110"/>
          <w:sz w:val="24"/>
        </w:rPr>
        <w:t>It was found that urine samples of an athlete who had competed at Sochi did not DNA match with the sample given by him in the batch of 26 samples. The B bottle of this athlete had been examined in the batch of 12 and was found to have been tampered with. This combination of a DNA mismatch and tampering further corroborates Dr. Rodchenkov's evidence that the urine in that sample had been replaced with clean urine from another</w:t>
      </w:r>
      <w:r>
        <w:rPr>
          <w:spacing w:val="30"/>
          <w:w w:val="110"/>
          <w:sz w:val="24"/>
        </w:rPr>
        <w:t> </w:t>
      </w:r>
      <w:r>
        <w:rPr>
          <w:w w:val="110"/>
          <w:sz w:val="24"/>
        </w:rPr>
        <w:t>person.</w:t>
      </w:r>
    </w:p>
    <w:p>
      <w:pPr>
        <w:spacing w:after="0" w:line="504" w:lineRule="auto"/>
        <w:jc w:val="both"/>
        <w:rPr>
          <w:sz w:val="24"/>
        </w:rPr>
        <w:sectPr>
          <w:pgSz w:w="12240" w:h="15840"/>
          <w:pgMar w:header="0" w:footer="705" w:top="1440" w:bottom="900" w:left="1720" w:right="1680"/>
        </w:sectPr>
      </w:pPr>
    </w:p>
    <w:p>
      <w:pPr>
        <w:pStyle w:val="ListParagraph"/>
        <w:numPr>
          <w:ilvl w:val="0"/>
          <w:numId w:val="17"/>
        </w:numPr>
        <w:tabs>
          <w:tab w:pos="841" w:val="left" w:leader="none"/>
        </w:tabs>
        <w:spacing w:line="504" w:lineRule="auto" w:before="16" w:after="0"/>
        <w:ind w:left="839" w:right="106" w:hanging="360"/>
        <w:jc w:val="both"/>
        <w:rPr>
          <w:sz w:val="24"/>
        </w:rPr>
      </w:pPr>
      <w:r>
        <w:rPr>
          <w:w w:val="110"/>
          <w:sz w:val="24"/>
        </w:rPr>
        <w:t>The batch of 26 samples contained two samples purportedly  from  the same athlete. Both of those B sample bottles showed signs of tampering.</w:t>
      </w:r>
      <w:r>
        <w:rPr>
          <w:spacing w:val="66"/>
          <w:w w:val="110"/>
          <w:sz w:val="24"/>
        </w:rPr>
        <w:t> </w:t>
      </w:r>
      <w:r>
        <w:rPr>
          <w:w w:val="110"/>
          <w:sz w:val="24"/>
        </w:rPr>
        <w:t>In a comparison of DNA it was found that the two samples did not  </w:t>
      </w:r>
      <w:r>
        <w:rPr>
          <w:spacing w:val="7"/>
          <w:w w:val="110"/>
          <w:sz w:val="24"/>
        </w:rPr>
        <w:t> </w:t>
      </w:r>
      <w:r>
        <w:rPr>
          <w:w w:val="110"/>
          <w:sz w:val="24"/>
        </w:rPr>
        <w:t>match</w:t>
      </w:r>
    </w:p>
    <w:p>
      <w:pPr>
        <w:pStyle w:val="BodyText"/>
        <w:spacing w:before="12"/>
        <w:ind w:left="839"/>
      </w:pPr>
      <w:r>
        <w:rPr>
          <w:w w:val="120"/>
        </w:rPr>
        <w:t>- </w:t>
      </w:r>
      <w:r>
        <w:rPr>
          <w:w w:val="115"/>
        </w:rPr>
        <w:t>in other words, they came from different people.</w:t>
      </w:r>
    </w:p>
    <w:p>
      <w:pPr>
        <w:pStyle w:val="BodyText"/>
      </w:pPr>
    </w:p>
    <w:p>
      <w:pPr>
        <w:pStyle w:val="BodyText"/>
      </w:pPr>
    </w:p>
    <w:p>
      <w:pPr>
        <w:pStyle w:val="BodyText"/>
        <w:spacing w:before="6"/>
        <w:rPr>
          <w:sz w:val="28"/>
        </w:rPr>
      </w:pPr>
    </w:p>
    <w:p>
      <w:pPr>
        <w:pStyle w:val="ListParagraph"/>
        <w:numPr>
          <w:ilvl w:val="0"/>
          <w:numId w:val="17"/>
        </w:numPr>
        <w:tabs>
          <w:tab w:pos="840" w:val="left" w:leader="none"/>
        </w:tabs>
        <w:spacing w:line="504" w:lineRule="auto" w:before="1" w:after="0"/>
        <w:ind w:left="839" w:right="108" w:hanging="360"/>
        <w:jc w:val="both"/>
        <w:rPr>
          <w:sz w:val="24"/>
        </w:rPr>
      </w:pPr>
      <w:r>
        <w:rPr>
          <w:w w:val="110"/>
          <w:sz w:val="24"/>
        </w:rPr>
        <w:t>DNA evidence of a female athlete who had previously won a Gold and Silver medal showed that the urine in her sample had come from two different people, both female. Again her B bottle showed signs of tampering in the consistent places inside the cap. This corroborates Dr. Rodchenkov's evidence that in some cases, the clean urine substituted into these bottles came from more than one clean stored</w:t>
      </w:r>
      <w:r>
        <w:rPr>
          <w:spacing w:val="-19"/>
          <w:w w:val="110"/>
          <w:sz w:val="24"/>
        </w:rPr>
        <w:t> </w:t>
      </w:r>
      <w:r>
        <w:rPr>
          <w:w w:val="110"/>
          <w:sz w:val="24"/>
        </w:rPr>
        <w:t>sample.</w:t>
      </w:r>
    </w:p>
    <w:p>
      <w:pPr>
        <w:pStyle w:val="BodyText"/>
      </w:pPr>
    </w:p>
    <w:p>
      <w:pPr>
        <w:pStyle w:val="BodyText"/>
      </w:pPr>
    </w:p>
    <w:p>
      <w:pPr>
        <w:pStyle w:val="BodyText"/>
      </w:pPr>
    </w:p>
    <w:p>
      <w:pPr>
        <w:pStyle w:val="BodyText"/>
        <w:spacing w:before="3"/>
        <w:rPr>
          <w:sz w:val="29"/>
        </w:rPr>
      </w:pPr>
    </w:p>
    <w:p>
      <w:pPr>
        <w:pStyle w:val="BodyText"/>
        <w:spacing w:line="504" w:lineRule="auto"/>
        <w:ind w:left="119" w:right="106"/>
        <w:jc w:val="both"/>
      </w:pPr>
      <w:r>
        <w:rPr>
          <w:w w:val="110"/>
        </w:rPr>
        <w:t>Of the 12 bottles found to have been tampered with, based on scratches and marks found on the caps, the following sports were involved: Athletics 4, Wrestling 2, Weightlifting 2, Taekwondo 1, Skating 1, Sailing 1, and Judo 1. The names of the athletes involved are being withheld by the IP at this stage for consideration of further results management</w:t>
      </w:r>
      <w:r>
        <w:rPr>
          <w:spacing w:val="46"/>
          <w:w w:val="110"/>
        </w:rPr>
        <w:t> </w:t>
      </w:r>
      <w:r>
        <w:rPr>
          <w:w w:val="110"/>
        </w:rPr>
        <w:t>proceedings.</w:t>
      </w:r>
    </w:p>
    <w:p>
      <w:pPr>
        <w:spacing w:after="0" w:line="504" w:lineRule="auto"/>
        <w:jc w:val="both"/>
        <w:sectPr>
          <w:pgSz w:w="12240" w:h="15840"/>
          <w:pgMar w:header="0" w:footer="705" w:top="1440" w:bottom="900" w:left="1700" w:right="1680"/>
        </w:sectPr>
      </w:pPr>
    </w:p>
    <w:p>
      <w:pPr>
        <w:pStyle w:val="ListParagraph"/>
        <w:numPr>
          <w:ilvl w:val="2"/>
          <w:numId w:val="18"/>
        </w:numPr>
        <w:tabs>
          <w:tab w:pos="659" w:val="left" w:leader="none"/>
        </w:tabs>
        <w:spacing w:line="240" w:lineRule="auto" w:before="20" w:after="0"/>
        <w:ind w:left="658" w:right="0" w:hanging="539"/>
        <w:jc w:val="both"/>
        <w:rPr>
          <w:rFonts w:ascii="Georgia"/>
          <w:sz w:val="24"/>
        </w:rPr>
      </w:pPr>
      <w:r>
        <w:rPr>
          <w:rFonts w:ascii="Georgia"/>
          <w:sz w:val="24"/>
        </w:rPr>
        <w:t>IP</w:t>
      </w:r>
      <w:r>
        <w:rPr>
          <w:rFonts w:ascii="Georgia"/>
          <w:spacing w:val="34"/>
          <w:sz w:val="24"/>
        </w:rPr>
        <w:t> </w:t>
      </w:r>
      <w:r>
        <w:rPr>
          <w:rFonts w:ascii="Georgia"/>
          <w:sz w:val="24"/>
        </w:rPr>
        <w:t>Findings</w:t>
      </w:r>
    </w:p>
    <w:p>
      <w:pPr>
        <w:pStyle w:val="BodyText"/>
        <w:rPr>
          <w:rFonts w:ascii="Georgia"/>
        </w:rPr>
      </w:pPr>
    </w:p>
    <w:p>
      <w:pPr>
        <w:pStyle w:val="BodyText"/>
        <w:rPr>
          <w:rFonts w:ascii="Georgia"/>
        </w:rPr>
      </w:pPr>
    </w:p>
    <w:p>
      <w:pPr>
        <w:pStyle w:val="ListParagraph"/>
        <w:numPr>
          <w:ilvl w:val="3"/>
          <w:numId w:val="18"/>
        </w:numPr>
        <w:tabs>
          <w:tab w:pos="841" w:val="left" w:leader="none"/>
        </w:tabs>
        <w:spacing w:line="504" w:lineRule="auto" w:before="190" w:after="0"/>
        <w:ind w:left="839" w:right="107" w:hanging="360"/>
        <w:jc w:val="left"/>
        <w:rPr>
          <w:sz w:val="24"/>
        </w:rPr>
      </w:pPr>
      <w:r>
        <w:rPr>
          <w:w w:val="110"/>
          <w:sz w:val="24"/>
        </w:rPr>
        <w:t>Sample bottles stored in the Moscow Laboratory from 10 September to 10 December 2014 were tampered with by having their urine</w:t>
      </w:r>
      <w:r>
        <w:rPr>
          <w:spacing w:val="24"/>
          <w:w w:val="110"/>
          <w:sz w:val="24"/>
        </w:rPr>
        <w:t> </w:t>
      </w:r>
      <w:r>
        <w:rPr>
          <w:w w:val="110"/>
          <w:sz w:val="24"/>
        </w:rPr>
        <w:t>swapped.</w:t>
      </w:r>
    </w:p>
    <w:p>
      <w:pPr>
        <w:pStyle w:val="BodyText"/>
      </w:pPr>
    </w:p>
    <w:p>
      <w:pPr>
        <w:pStyle w:val="BodyText"/>
        <w:rPr>
          <w:sz w:val="27"/>
        </w:rPr>
      </w:pPr>
    </w:p>
    <w:p>
      <w:pPr>
        <w:pStyle w:val="ListParagraph"/>
        <w:numPr>
          <w:ilvl w:val="3"/>
          <w:numId w:val="18"/>
        </w:numPr>
        <w:tabs>
          <w:tab w:pos="841" w:val="left" w:leader="none"/>
        </w:tabs>
        <w:spacing w:line="501" w:lineRule="auto" w:before="1" w:after="0"/>
        <w:ind w:left="839" w:right="107" w:hanging="360"/>
        <w:jc w:val="left"/>
        <w:rPr>
          <w:sz w:val="24"/>
        </w:rPr>
      </w:pPr>
      <w:r>
        <w:rPr>
          <w:w w:val="110"/>
          <w:sz w:val="24"/>
        </w:rPr>
        <w:t>The DNA analysis confirmed 3 samples where the DNA did not match that of the</w:t>
      </w:r>
      <w:r>
        <w:rPr>
          <w:spacing w:val="-8"/>
          <w:w w:val="110"/>
          <w:sz w:val="24"/>
        </w:rPr>
        <w:t> </w:t>
      </w:r>
      <w:r>
        <w:rPr>
          <w:w w:val="110"/>
          <w:sz w:val="24"/>
        </w:rPr>
        <w:t>athlete.</w:t>
      </w:r>
    </w:p>
    <w:p>
      <w:pPr>
        <w:pStyle w:val="BodyText"/>
      </w:pPr>
    </w:p>
    <w:p>
      <w:pPr>
        <w:pStyle w:val="BodyText"/>
      </w:pPr>
    </w:p>
    <w:p>
      <w:pPr>
        <w:pStyle w:val="BodyText"/>
        <w:spacing w:before="9"/>
        <w:rPr>
          <w:sz w:val="20"/>
        </w:rPr>
      </w:pPr>
    </w:p>
    <w:p>
      <w:pPr>
        <w:pStyle w:val="BodyText"/>
        <w:spacing w:before="1"/>
        <w:ind w:left="119"/>
        <w:jc w:val="both"/>
        <w:rPr>
          <w:rFonts w:ascii="Georgia"/>
        </w:rPr>
      </w:pPr>
      <w:r>
        <w:rPr>
          <w:rFonts w:ascii="Georgia"/>
          <w:w w:val="105"/>
        </w:rPr>
        <w:t>3.5 The "Cocktail"</w:t>
      </w:r>
    </w:p>
    <w:p>
      <w:pPr>
        <w:pStyle w:val="BodyText"/>
        <w:rPr>
          <w:rFonts w:ascii="Georgia"/>
        </w:rPr>
      </w:pPr>
    </w:p>
    <w:p>
      <w:pPr>
        <w:pStyle w:val="BodyText"/>
        <w:spacing w:before="6"/>
        <w:rPr>
          <w:rFonts w:ascii="Georgia"/>
          <w:sz w:val="28"/>
        </w:rPr>
      </w:pPr>
    </w:p>
    <w:p>
      <w:pPr>
        <w:pStyle w:val="BodyText"/>
        <w:spacing w:line="504" w:lineRule="auto"/>
        <w:ind w:left="119" w:right="107"/>
        <w:jc w:val="both"/>
      </w:pPr>
      <w:r>
        <w:rPr>
          <w:w w:val="110"/>
        </w:rPr>
        <w:t>The IC reported on the older model of distribution of doping substances under</w:t>
      </w:r>
      <w:r>
        <w:rPr>
          <w:spacing w:val="66"/>
          <w:w w:val="110"/>
        </w:rPr>
        <w:t> </w:t>
      </w:r>
      <w:r>
        <w:rPr>
          <w:w w:val="110"/>
        </w:rPr>
        <w:t>the discerning eye of Dr. Portugalov and the coaches with whom he worked. Dr. Rodchenkov in interviews with the IP testified that, prior to 2010, doping advice to Russian athletes came primarily from their coaches. Dr. Rodchenkov observed that the quality of steroids and other PEDs that the coaches were providing to their athletes was becoming suspect and that the scientific knowledge regarding detection windows of various PEDs was not being used</w:t>
      </w:r>
      <w:r>
        <w:rPr>
          <w:spacing w:val="-44"/>
          <w:w w:val="110"/>
        </w:rPr>
        <w:t> </w:t>
      </w:r>
      <w:r>
        <w:rPr>
          <w:w w:val="110"/>
        </w:rPr>
        <w:t>effectively.</w:t>
      </w:r>
    </w:p>
    <w:p>
      <w:pPr>
        <w:pStyle w:val="BodyText"/>
      </w:pPr>
    </w:p>
    <w:p>
      <w:pPr>
        <w:pStyle w:val="BodyText"/>
        <w:spacing w:before="2"/>
        <w:rPr>
          <w:sz w:val="27"/>
        </w:rPr>
      </w:pPr>
    </w:p>
    <w:p>
      <w:pPr>
        <w:pStyle w:val="BodyText"/>
        <w:spacing w:line="504" w:lineRule="auto"/>
        <w:ind w:left="119" w:right="107"/>
        <w:jc w:val="both"/>
      </w:pPr>
      <w:r>
        <w:rPr>
          <w:w w:val="110"/>
        </w:rPr>
        <w:t>After he became laboratory director, and in furtherance of his responsibility to improve Russian sport performance by covering up doping, Dr. Rodchenkov developed a steroid cocktail optimized to avoid detection. Initially, that cocktail consisted of Oral Turinabol (Dehydrochloromethyl-testosterone), Oxandrolone and Methasterone. The steroids  were  dissolved in alcohol  (Chivas for  the  men</w:t>
      </w:r>
    </w:p>
    <w:p>
      <w:pPr>
        <w:spacing w:after="0" w:line="504" w:lineRule="auto"/>
        <w:jc w:val="both"/>
        <w:sectPr>
          <w:pgSz w:w="12240" w:h="15840"/>
          <w:pgMar w:header="0" w:footer="705" w:top="1440" w:bottom="900" w:left="1700" w:right="1680"/>
        </w:sectPr>
      </w:pPr>
    </w:p>
    <w:p>
      <w:pPr>
        <w:pStyle w:val="BodyText"/>
        <w:spacing w:line="504" w:lineRule="auto" w:before="16"/>
        <w:ind w:left="119" w:right="104"/>
        <w:jc w:val="both"/>
      </w:pPr>
      <w:r>
        <w:rPr>
          <w:w w:val="110"/>
        </w:rPr>
        <w:t>and Vermouth for the women). The solution was then swished in the mouth in order to be absorbed by the bucal membrane and then</w:t>
      </w:r>
      <w:r>
        <w:rPr>
          <w:spacing w:val="66"/>
          <w:w w:val="110"/>
        </w:rPr>
        <w:t> </w:t>
      </w:r>
      <w:r>
        <w:rPr>
          <w:w w:val="110"/>
        </w:rPr>
        <w:t>spit</w:t>
      </w:r>
      <w:r>
        <w:rPr>
          <w:spacing w:val="66"/>
          <w:w w:val="110"/>
        </w:rPr>
        <w:t> </w:t>
      </w:r>
      <w:r>
        <w:rPr>
          <w:w w:val="110"/>
        </w:rPr>
        <w:t>out.</w:t>
      </w:r>
      <w:r>
        <w:rPr>
          <w:spacing w:val="66"/>
          <w:w w:val="110"/>
        </w:rPr>
        <w:t> </w:t>
      </w:r>
      <w:r>
        <w:rPr>
          <w:w w:val="110"/>
        </w:rPr>
        <w:t>Dr. Rodchenkov's research indicated that, with the laboratory technology  available at the time, the detection window for the steroids in the cocktail would not  exceed</w:t>
      </w:r>
      <w:r>
        <w:rPr>
          <w:spacing w:val="-28"/>
          <w:w w:val="110"/>
        </w:rPr>
        <w:t> </w:t>
      </w:r>
      <w:r>
        <w:rPr>
          <w:w w:val="110"/>
        </w:rPr>
        <w:t>3-5</w:t>
      </w:r>
      <w:r>
        <w:rPr>
          <w:spacing w:val="-28"/>
          <w:w w:val="110"/>
        </w:rPr>
        <w:t> </w:t>
      </w:r>
      <w:r>
        <w:rPr>
          <w:w w:val="110"/>
        </w:rPr>
        <w:t>days.</w:t>
      </w:r>
    </w:p>
    <w:p>
      <w:pPr>
        <w:pStyle w:val="BodyText"/>
      </w:pPr>
    </w:p>
    <w:p>
      <w:pPr>
        <w:pStyle w:val="BodyText"/>
        <w:spacing w:before="2"/>
        <w:rPr>
          <w:sz w:val="27"/>
        </w:rPr>
      </w:pPr>
    </w:p>
    <w:p>
      <w:pPr>
        <w:pStyle w:val="BodyText"/>
        <w:spacing w:line="504" w:lineRule="auto"/>
        <w:ind w:left="119" w:right="106"/>
        <w:jc w:val="both"/>
      </w:pPr>
      <w:r>
        <w:rPr>
          <w:w w:val="110"/>
        </w:rPr>
        <w:t>After the London Games, the steroid Oral Turinabol was replaced in the cocktail with the steroid Trenbolone because long term metabolites of Oral Turinabol had become more easily detected.</w:t>
      </w:r>
    </w:p>
    <w:p>
      <w:pPr>
        <w:pStyle w:val="BodyText"/>
      </w:pPr>
    </w:p>
    <w:p>
      <w:pPr>
        <w:pStyle w:val="BodyText"/>
        <w:spacing w:before="6"/>
        <w:rPr>
          <w:sz w:val="27"/>
        </w:rPr>
      </w:pPr>
    </w:p>
    <w:p>
      <w:pPr>
        <w:pStyle w:val="BodyText"/>
        <w:spacing w:line="501" w:lineRule="auto" w:before="1"/>
        <w:ind w:left="119" w:right="108"/>
        <w:jc w:val="both"/>
      </w:pPr>
      <w:r>
        <w:rPr>
          <w:w w:val="115"/>
        </w:rPr>
        <w:t>While Dr. Rodchenkov's "cocktail" may sound fanciful, the IP has confirmed with</w:t>
      </w:r>
      <w:r>
        <w:rPr>
          <w:spacing w:val="-6"/>
          <w:w w:val="115"/>
        </w:rPr>
        <w:t> </w:t>
      </w:r>
      <w:r>
        <w:rPr>
          <w:w w:val="115"/>
        </w:rPr>
        <w:t>its</w:t>
      </w:r>
      <w:r>
        <w:rPr>
          <w:spacing w:val="-6"/>
          <w:w w:val="115"/>
        </w:rPr>
        <w:t> </w:t>
      </w:r>
      <w:r>
        <w:rPr>
          <w:w w:val="115"/>
        </w:rPr>
        <w:t>scientific</w:t>
      </w:r>
      <w:r>
        <w:rPr>
          <w:spacing w:val="-6"/>
          <w:w w:val="115"/>
        </w:rPr>
        <w:t> </w:t>
      </w:r>
      <w:r>
        <w:rPr>
          <w:w w:val="115"/>
        </w:rPr>
        <w:t>advisor</w:t>
      </w:r>
      <w:r>
        <w:rPr>
          <w:spacing w:val="-4"/>
          <w:w w:val="115"/>
        </w:rPr>
        <w:t> </w:t>
      </w:r>
      <w:r>
        <w:rPr>
          <w:w w:val="115"/>
        </w:rPr>
        <w:t>that</w:t>
      </w:r>
      <w:r>
        <w:rPr>
          <w:spacing w:val="-7"/>
          <w:w w:val="115"/>
        </w:rPr>
        <w:t> </w:t>
      </w:r>
      <w:r>
        <w:rPr>
          <w:w w:val="115"/>
        </w:rPr>
        <w:t>indeed</w:t>
      </w:r>
      <w:r>
        <w:rPr>
          <w:spacing w:val="-6"/>
          <w:w w:val="115"/>
        </w:rPr>
        <w:t> </w:t>
      </w:r>
      <w:r>
        <w:rPr>
          <w:w w:val="115"/>
        </w:rPr>
        <w:t>steroids</w:t>
      </w:r>
      <w:r>
        <w:rPr>
          <w:spacing w:val="-8"/>
          <w:w w:val="115"/>
        </w:rPr>
        <w:t> </w:t>
      </w:r>
      <w:r>
        <w:rPr>
          <w:w w:val="115"/>
        </w:rPr>
        <w:t>dissolve</w:t>
      </w:r>
      <w:r>
        <w:rPr>
          <w:spacing w:val="-6"/>
          <w:w w:val="115"/>
        </w:rPr>
        <w:t> </w:t>
      </w:r>
      <w:r>
        <w:rPr>
          <w:w w:val="115"/>
        </w:rPr>
        <w:t>better</w:t>
      </w:r>
      <w:r>
        <w:rPr>
          <w:spacing w:val="-7"/>
          <w:w w:val="115"/>
        </w:rPr>
        <w:t> </w:t>
      </w:r>
      <w:r>
        <w:rPr>
          <w:w w:val="115"/>
        </w:rPr>
        <w:t>in</w:t>
      </w:r>
      <w:r>
        <w:rPr>
          <w:spacing w:val="-8"/>
          <w:w w:val="115"/>
        </w:rPr>
        <w:t> </w:t>
      </w:r>
      <w:r>
        <w:rPr>
          <w:w w:val="115"/>
        </w:rPr>
        <w:t>alcohol</w:t>
      </w:r>
      <w:r>
        <w:rPr>
          <w:spacing w:val="-6"/>
          <w:w w:val="115"/>
        </w:rPr>
        <w:t> </w:t>
      </w:r>
      <w:r>
        <w:rPr>
          <w:w w:val="115"/>
        </w:rPr>
        <w:t>than</w:t>
      </w:r>
      <w:r>
        <w:rPr>
          <w:spacing w:val="-6"/>
          <w:w w:val="115"/>
        </w:rPr>
        <w:t> </w:t>
      </w:r>
      <w:r>
        <w:rPr>
          <w:w w:val="115"/>
        </w:rPr>
        <w:t>in water, and that the administration of steroids through bucal absorption, as compared to injection or swallowing the drug, does shorten the window of detectability.</w:t>
      </w:r>
    </w:p>
    <w:p>
      <w:pPr>
        <w:pStyle w:val="BodyText"/>
      </w:pPr>
    </w:p>
    <w:p>
      <w:pPr>
        <w:pStyle w:val="BodyText"/>
        <w:spacing w:before="5"/>
        <w:rPr>
          <w:sz w:val="27"/>
        </w:rPr>
      </w:pPr>
    </w:p>
    <w:p>
      <w:pPr>
        <w:pStyle w:val="BodyText"/>
        <w:spacing w:line="504" w:lineRule="auto" w:before="1"/>
        <w:ind w:left="119" w:right="108"/>
        <w:jc w:val="both"/>
      </w:pPr>
      <w:r>
        <w:rPr>
          <w:w w:val="110"/>
        </w:rPr>
        <w:t>Dr. Rodchenkov's evidence is that, although he designed the cocktail, he did not make it or distribute it. Rather, the cocktail was distributed to various sport federations by Irina Rodionova, who worked for the CSP, a subsidiary organization of the MofS. Rodionova nicknamed the cocktail "Duchess" after a traditional Russian drink.</w:t>
      </w:r>
    </w:p>
    <w:p>
      <w:pPr>
        <w:spacing w:after="0" w:line="504" w:lineRule="auto"/>
        <w:jc w:val="both"/>
        <w:sectPr>
          <w:footerReference w:type="default" r:id="rId110"/>
          <w:pgSz w:w="12240" w:h="15840"/>
          <w:pgMar w:footer="712" w:header="0" w:top="1440" w:bottom="900" w:left="1700" w:right="1680"/>
        </w:sectPr>
      </w:pPr>
    </w:p>
    <w:p>
      <w:pPr>
        <w:pStyle w:val="BodyText"/>
        <w:spacing w:line="504" w:lineRule="auto" w:before="16"/>
        <w:ind w:left="119" w:right="108"/>
        <w:jc w:val="both"/>
      </w:pPr>
      <w:r>
        <w:rPr>
          <w:w w:val="110"/>
        </w:rPr>
        <w:t>Dr. Rodchenkov's evidence is that by the time of the Olympic Games in London, many of Russia's top athletes were using the cocktail. This is corroborated by the fact that in recent retesting of the London samples by the IOC. Samples of 8 Russian athletes were found to contain metabolites of Oral Turinabol.</w:t>
      </w:r>
    </w:p>
    <w:p>
      <w:pPr>
        <w:spacing w:after="0" w:line="504" w:lineRule="auto"/>
        <w:jc w:val="both"/>
        <w:sectPr>
          <w:pgSz w:w="12240" w:h="15840"/>
          <w:pgMar w:header="0" w:footer="712" w:top="1440" w:bottom="900" w:left="1700" w:right="1680"/>
        </w:sectPr>
      </w:pPr>
    </w:p>
    <w:p>
      <w:pPr>
        <w:pStyle w:val="Heading1"/>
        <w:spacing w:before="1"/>
        <w:rPr>
          <w:rFonts w:ascii="Georgia"/>
        </w:rPr>
      </w:pPr>
      <w:bookmarkStart w:name="_TOC_250003" w:id="5"/>
      <w:bookmarkEnd w:id="5"/>
      <w:r>
        <w:rPr>
          <w:rFonts w:ascii="Georgia"/>
        </w:rPr>
        <w:t>Chapter 4: The Command  Structure</w:t>
      </w:r>
    </w:p>
    <w:p>
      <w:pPr>
        <w:pStyle w:val="BodyText"/>
        <w:rPr>
          <w:rFonts w:ascii="Georgia"/>
          <w:sz w:val="28"/>
        </w:rPr>
      </w:pPr>
    </w:p>
    <w:p>
      <w:pPr>
        <w:pStyle w:val="BodyText"/>
        <w:spacing w:before="6"/>
        <w:rPr>
          <w:rFonts w:ascii="Georgia"/>
        </w:rPr>
      </w:pPr>
    </w:p>
    <w:p>
      <w:pPr>
        <w:pStyle w:val="ListParagraph"/>
        <w:numPr>
          <w:ilvl w:val="1"/>
          <w:numId w:val="19"/>
        </w:numPr>
        <w:tabs>
          <w:tab w:pos="479" w:val="left" w:leader="none"/>
        </w:tabs>
        <w:spacing w:line="240" w:lineRule="auto" w:before="0" w:after="0"/>
        <w:ind w:left="478" w:right="0" w:hanging="359"/>
        <w:jc w:val="both"/>
        <w:rPr>
          <w:rFonts w:ascii="Georgia"/>
          <w:sz w:val="24"/>
        </w:rPr>
      </w:pPr>
      <w:r>
        <w:rPr>
          <w:rFonts w:ascii="Georgia"/>
          <w:w w:val="105"/>
          <w:sz w:val="24"/>
        </w:rPr>
        <w:t>The</w:t>
      </w:r>
      <w:r>
        <w:rPr>
          <w:rFonts w:ascii="Georgia"/>
          <w:spacing w:val="-14"/>
          <w:w w:val="105"/>
          <w:sz w:val="24"/>
        </w:rPr>
        <w:t> </w:t>
      </w:r>
      <w:r>
        <w:rPr>
          <w:rFonts w:ascii="Georgia"/>
          <w:w w:val="105"/>
          <w:sz w:val="24"/>
        </w:rPr>
        <w:t>Ministry</w:t>
      </w:r>
      <w:r>
        <w:rPr>
          <w:rFonts w:ascii="Georgia"/>
          <w:spacing w:val="-13"/>
          <w:w w:val="105"/>
          <w:sz w:val="24"/>
        </w:rPr>
        <w:t> </w:t>
      </w:r>
      <w:r>
        <w:rPr>
          <w:rFonts w:ascii="Georgia"/>
          <w:w w:val="105"/>
          <w:sz w:val="24"/>
        </w:rPr>
        <w:t>of</w:t>
      </w:r>
      <w:r>
        <w:rPr>
          <w:rFonts w:ascii="Georgia"/>
          <w:spacing w:val="-11"/>
          <w:w w:val="105"/>
          <w:sz w:val="24"/>
        </w:rPr>
        <w:t> </w:t>
      </w:r>
      <w:r>
        <w:rPr>
          <w:rFonts w:ascii="Georgia"/>
          <w:w w:val="105"/>
          <w:sz w:val="24"/>
        </w:rPr>
        <w:t>Sport</w:t>
      </w:r>
      <w:r>
        <w:rPr>
          <w:rFonts w:ascii="Georgia"/>
          <w:spacing w:val="-13"/>
          <w:w w:val="105"/>
          <w:sz w:val="24"/>
        </w:rPr>
        <w:t> </w:t>
      </w:r>
      <w:r>
        <w:rPr>
          <w:rFonts w:ascii="Georgia"/>
          <w:w w:val="105"/>
          <w:sz w:val="24"/>
        </w:rPr>
        <w:t>of</w:t>
      </w:r>
      <w:r>
        <w:rPr>
          <w:rFonts w:ascii="Georgia"/>
          <w:spacing w:val="-13"/>
          <w:w w:val="105"/>
          <w:sz w:val="24"/>
        </w:rPr>
        <w:t> </w:t>
      </w:r>
      <w:r>
        <w:rPr>
          <w:rFonts w:ascii="Georgia"/>
          <w:w w:val="105"/>
          <w:sz w:val="24"/>
        </w:rPr>
        <w:t>the</w:t>
      </w:r>
      <w:r>
        <w:rPr>
          <w:rFonts w:ascii="Georgia"/>
          <w:spacing w:val="-13"/>
          <w:w w:val="105"/>
          <w:sz w:val="24"/>
        </w:rPr>
        <w:t> </w:t>
      </w:r>
      <w:r>
        <w:rPr>
          <w:rFonts w:ascii="Georgia"/>
          <w:w w:val="105"/>
          <w:sz w:val="24"/>
        </w:rPr>
        <w:t>Russian</w:t>
      </w:r>
      <w:r>
        <w:rPr>
          <w:rFonts w:ascii="Georgia"/>
          <w:spacing w:val="-13"/>
          <w:w w:val="105"/>
          <w:sz w:val="24"/>
        </w:rPr>
        <w:t> </w:t>
      </w:r>
      <w:r>
        <w:rPr>
          <w:rFonts w:ascii="Georgia"/>
          <w:w w:val="105"/>
          <w:sz w:val="24"/>
        </w:rPr>
        <w:t>Federation</w:t>
      </w:r>
    </w:p>
    <w:p>
      <w:pPr>
        <w:pStyle w:val="BodyText"/>
        <w:rPr>
          <w:rFonts w:ascii="Georgia"/>
        </w:rPr>
      </w:pPr>
    </w:p>
    <w:p>
      <w:pPr>
        <w:pStyle w:val="BodyText"/>
        <w:rPr>
          <w:rFonts w:ascii="Georgia"/>
        </w:rPr>
      </w:pPr>
    </w:p>
    <w:p>
      <w:pPr>
        <w:pStyle w:val="BodyText"/>
        <w:spacing w:line="504" w:lineRule="auto" w:before="205"/>
        <w:ind w:left="119" w:right="109"/>
        <w:jc w:val="both"/>
        <w:rPr>
          <w:sz w:val="16"/>
        </w:rPr>
      </w:pPr>
      <w:r>
        <w:rPr>
          <w:w w:val="110"/>
        </w:rPr>
        <w:t>According to its website, the Ministry of Sport of the Russian Federation is a federal executive body responsible for the development and implementation of State policy and normative legal regulations in the sphere of physical culture and sports. The MofS also manages the prevention of doping in sport and State property in the sphere of physical culture and sports.</w:t>
      </w:r>
      <w:r>
        <w:rPr>
          <w:w w:val="110"/>
          <w:position w:val="6"/>
          <w:sz w:val="16"/>
        </w:rPr>
        <w:t>6</w:t>
      </w:r>
    </w:p>
    <w:p>
      <w:pPr>
        <w:pStyle w:val="BodyText"/>
      </w:pPr>
    </w:p>
    <w:p>
      <w:pPr>
        <w:pStyle w:val="BodyText"/>
      </w:pPr>
    </w:p>
    <w:p>
      <w:pPr>
        <w:pStyle w:val="BodyText"/>
        <w:spacing w:before="1"/>
        <w:rPr>
          <w:sz w:val="31"/>
        </w:rPr>
      </w:pPr>
    </w:p>
    <w:p>
      <w:pPr>
        <w:pStyle w:val="BodyText"/>
        <w:spacing w:line="504" w:lineRule="auto"/>
        <w:ind w:left="119" w:right="99"/>
        <w:jc w:val="both"/>
      </w:pPr>
      <w:r>
        <w:rPr>
          <w:w w:val="110"/>
        </w:rPr>
        <w:t>It operates directly and through subordinate organizations in collaboration with other federal executive bodies, executive bodies of subjects of the Russian Federation, local authorities, public associations and other organizations.</w:t>
      </w:r>
      <w:r>
        <w:rPr>
          <w:w w:val="110"/>
          <w:position w:val="6"/>
          <w:sz w:val="16"/>
        </w:rPr>
        <w:t>7 </w:t>
      </w:r>
      <w:r>
        <w:rPr>
          <w:w w:val="110"/>
        </w:rPr>
        <w:t>One example of its operation through a subordinate body is the Russian Federal Research Center of Physical Culture and Sports (VNIIFK) dealing with medical issues in sport. (See chapter 15 of the IC report and as to the individual see the</w:t>
      </w:r>
      <w:r>
        <w:rPr>
          <w:spacing w:val="66"/>
          <w:w w:val="110"/>
        </w:rPr>
        <w:t> </w:t>
      </w:r>
      <w:r>
        <w:rPr>
          <w:w w:val="110"/>
        </w:rPr>
        <w:t>IC report</w:t>
      </w:r>
      <w:r>
        <w:rPr>
          <w:spacing w:val="-17"/>
          <w:w w:val="110"/>
        </w:rPr>
        <w:t> </w:t>
      </w:r>
      <w:r>
        <w:rPr>
          <w:w w:val="110"/>
        </w:rPr>
        <w:t>generally).</w:t>
      </w:r>
    </w:p>
    <w:p>
      <w:pPr>
        <w:pStyle w:val="BodyText"/>
      </w:pPr>
    </w:p>
    <w:p>
      <w:pPr>
        <w:pStyle w:val="BodyText"/>
      </w:pPr>
    </w:p>
    <w:p>
      <w:pPr>
        <w:pStyle w:val="BodyText"/>
        <w:spacing w:before="1"/>
        <w:rPr>
          <w:sz w:val="31"/>
        </w:rPr>
      </w:pPr>
    </w:p>
    <w:p>
      <w:pPr>
        <w:pStyle w:val="BodyText"/>
        <w:spacing w:line="504" w:lineRule="auto"/>
        <w:ind w:left="119" w:right="108"/>
        <w:jc w:val="both"/>
      </w:pPr>
      <w:r>
        <w:rPr>
          <w:w w:val="110"/>
        </w:rPr>
        <w:t>In the IP investigation another subordinate organisation was instrumental in the mosaic of State involvement.   The CSP played a routine and regular role in    the</w:t>
      </w:r>
    </w:p>
    <w:p>
      <w:pPr>
        <w:pStyle w:val="BodyText"/>
        <w:spacing w:before="11"/>
        <w:rPr>
          <w:sz w:val="21"/>
        </w:rPr>
      </w:pPr>
      <w:r>
        <w:rPr/>
        <w:pict>
          <v:line style="position:absolute;mso-position-horizontal-relative:page;mso-position-vertical-relative:paragraph;z-index:1552;mso-wrap-distance-left:0;mso-wrap-distance-right:0" from="90.839996pt,14.886324pt" to="234.959996pt,14.886324pt" stroked="true" strokeweight=".600010pt" strokecolor="#000000">
            <w10:wrap type="topAndBottom"/>
          </v:line>
        </w:pict>
      </w:r>
    </w:p>
    <w:p>
      <w:pPr>
        <w:spacing w:line="268" w:lineRule="auto" w:before="77"/>
        <w:ind w:left="119" w:right="0" w:firstLine="0"/>
        <w:jc w:val="left"/>
        <w:rPr>
          <w:sz w:val="19"/>
        </w:rPr>
      </w:pPr>
      <w:r>
        <w:rPr>
          <w:w w:val="110"/>
          <w:position w:val="5"/>
          <w:sz w:val="13"/>
        </w:rPr>
        <w:t>6 </w:t>
      </w:r>
      <w:r>
        <w:rPr>
          <w:w w:val="110"/>
          <w:sz w:val="19"/>
        </w:rPr>
        <w:t>Ministry of Sport of the Russian Federation, 2015. [Online] Available at: </w:t>
      </w:r>
      <w:hyperlink r:id="rId112">
        <w:r>
          <w:rPr>
            <w:w w:val="128"/>
            <w:sz w:val="19"/>
          </w:rPr>
          <w:t>http://www.minsport.gov.ru/en/</w:t>
        </w:r>
      </w:hyperlink>
      <w:r>
        <w:rPr>
          <w:w w:val="128"/>
          <w:sz w:val="19"/>
        </w:rPr>
        <w:t> </w:t>
      </w:r>
      <w:r>
        <w:rPr>
          <w:w w:val="110"/>
          <w:sz w:val="19"/>
        </w:rPr>
        <w:t>[Accessed </w:t>
      </w:r>
      <w:r>
        <w:rPr>
          <w:w w:val="103"/>
          <w:sz w:val="19"/>
        </w:rPr>
        <w:t>15 </w:t>
      </w:r>
      <w:r>
        <w:rPr>
          <w:w w:val="109"/>
          <w:sz w:val="19"/>
        </w:rPr>
        <w:t>July </w:t>
      </w:r>
      <w:r>
        <w:rPr>
          <w:w w:val="103"/>
          <w:sz w:val="19"/>
        </w:rPr>
        <w:t>2016].</w:t>
      </w:r>
    </w:p>
    <w:p>
      <w:pPr>
        <w:spacing w:after="0" w:line="268" w:lineRule="auto"/>
        <w:jc w:val="left"/>
        <w:rPr>
          <w:sz w:val="19"/>
        </w:rPr>
        <w:sectPr>
          <w:footerReference w:type="default" r:id="rId111"/>
          <w:pgSz w:w="12240" w:h="15840"/>
          <w:pgMar w:footer="1413" w:header="0" w:top="1460" w:bottom="1600" w:left="1700" w:right="1680"/>
          <w:pgNumType w:start="7"/>
        </w:sectPr>
      </w:pPr>
    </w:p>
    <w:p>
      <w:pPr>
        <w:pStyle w:val="BodyText"/>
        <w:spacing w:line="504" w:lineRule="auto" w:before="16"/>
        <w:ind w:left="119" w:right="105"/>
        <w:jc w:val="both"/>
      </w:pPr>
      <w:r>
        <w:rPr>
          <w:w w:val="110"/>
        </w:rPr>
        <w:t>disappearing positive methodology and in the sample swapping at Sochi. The</w:t>
      </w:r>
      <w:r>
        <w:rPr>
          <w:spacing w:val="66"/>
          <w:w w:val="110"/>
        </w:rPr>
        <w:t> </w:t>
      </w:r>
      <w:r>
        <w:rPr>
          <w:w w:val="110"/>
        </w:rPr>
        <w:t>first Liaison person for the Disappearing Positive Methodology Natalia Zhenalova was with the MofS. The other liaison person for the disappearing positive methodology, Alexey Velikodniy, was at the time of performing that</w:t>
      </w:r>
      <w:r>
        <w:rPr>
          <w:spacing w:val="66"/>
          <w:w w:val="110"/>
        </w:rPr>
        <w:t> </w:t>
      </w:r>
      <w:r>
        <w:rPr>
          <w:w w:val="110"/>
        </w:rPr>
        <w:t>role working for the CSP. The CSP Deputy Director, Irina Rodionova, oversaw the collection of clean urine samples in 2013 for storage in the CSP offices and subsequent shipment to the FSB building near the Sochi Laboratory. The interweaving of subordinate personnel into the MofS is best illustrated by Dr. Rodchenkov's evidence that Velikodniy who, while working as the CSP Liaison person, had an office in the MofS three doors away from the Deputy Minister Nagornykh.</w:t>
      </w:r>
    </w:p>
    <w:p>
      <w:pPr>
        <w:pStyle w:val="BodyText"/>
      </w:pPr>
    </w:p>
    <w:p>
      <w:pPr>
        <w:pStyle w:val="BodyText"/>
      </w:pPr>
    </w:p>
    <w:p>
      <w:pPr>
        <w:pStyle w:val="BodyText"/>
        <w:spacing w:before="7"/>
        <w:rPr>
          <w:sz w:val="30"/>
        </w:rPr>
      </w:pPr>
    </w:p>
    <w:p>
      <w:pPr>
        <w:pStyle w:val="BodyText"/>
        <w:spacing w:line="504" w:lineRule="auto"/>
        <w:ind w:left="119" w:right="107"/>
        <w:jc w:val="both"/>
        <w:rPr>
          <w:sz w:val="16"/>
        </w:rPr>
      </w:pPr>
      <w:r>
        <w:rPr>
          <w:w w:val="110"/>
        </w:rPr>
        <w:t>The MofS is governed by the Constitution of the Russian Federation, federal constitutional laws, federal laws, acts of the President of the Russian Federation and the Government of the Russian Federation, international treaties of the Russian Federation and the 2012 resolution of the Government of the Russian Federation officially re-establishing the Ministry.</w:t>
      </w:r>
      <w:r>
        <w:rPr>
          <w:w w:val="110"/>
          <w:position w:val="6"/>
          <w:sz w:val="16"/>
        </w:rPr>
        <w:t>8</w:t>
      </w:r>
    </w:p>
    <w:p>
      <w:pPr>
        <w:pStyle w:val="BodyText"/>
      </w:pPr>
    </w:p>
    <w:p>
      <w:pPr>
        <w:pStyle w:val="BodyText"/>
      </w:pPr>
    </w:p>
    <w:p>
      <w:pPr>
        <w:pStyle w:val="BodyText"/>
        <w:spacing w:before="8"/>
        <w:rPr>
          <w:sz w:val="30"/>
        </w:rPr>
      </w:pPr>
    </w:p>
    <w:p>
      <w:pPr>
        <w:pStyle w:val="BodyText"/>
        <w:spacing w:line="504" w:lineRule="auto"/>
        <w:ind w:left="119" w:right="108"/>
        <w:jc w:val="both"/>
      </w:pPr>
      <w:r>
        <w:rPr>
          <w:w w:val="110"/>
        </w:rPr>
        <w:t>The Minister of Sport is Vitaly Mutko. Natalia Zhelanova is an advisor to the Minister of Sport and was formerly the person in charge of Anti-Doping within</w:t>
      </w:r>
    </w:p>
    <w:p>
      <w:pPr>
        <w:pStyle w:val="BodyText"/>
        <w:rPr>
          <w:sz w:val="20"/>
        </w:rPr>
      </w:pPr>
    </w:p>
    <w:p>
      <w:pPr>
        <w:pStyle w:val="BodyText"/>
        <w:spacing w:before="6"/>
        <w:rPr>
          <w:sz w:val="11"/>
        </w:rPr>
      </w:pPr>
      <w:r>
        <w:rPr/>
        <w:pict>
          <v:line style="position:absolute;mso-position-horizontal-relative:page;mso-position-vertical-relative:paragraph;z-index:1576;mso-wrap-distance-left:0;mso-wrap-distance-right:0" from="90.839996pt,8.907297pt" to="234.959996pt,8.907297pt" stroked="true" strokeweight=".600010pt" strokecolor="#000000">
            <w10:wrap type="topAndBottom"/>
          </v:line>
        </w:pict>
      </w:r>
    </w:p>
    <w:p>
      <w:pPr>
        <w:spacing w:after="0"/>
        <w:rPr>
          <w:sz w:val="11"/>
        </w:rPr>
        <w:sectPr>
          <w:pgSz w:w="12240" w:h="15840"/>
          <w:pgMar w:header="0" w:footer="1413" w:top="1440" w:bottom="1600" w:left="1700" w:right="1680"/>
        </w:sectPr>
      </w:pPr>
    </w:p>
    <w:p>
      <w:pPr>
        <w:pStyle w:val="BodyText"/>
        <w:spacing w:line="504" w:lineRule="auto" w:before="16"/>
        <w:ind w:left="119" w:right="108"/>
        <w:jc w:val="both"/>
      </w:pPr>
      <w:r>
        <w:rPr>
          <w:w w:val="110"/>
        </w:rPr>
        <w:t>the MofS. At an earlier stage in her career she was the liaison person involved in the Disappearing Positive Methodology. Deputy Minister Nagornykh is  the person who determined which positive samples reported by the Liaison person would be saved or</w:t>
      </w:r>
      <w:r>
        <w:rPr>
          <w:spacing w:val="56"/>
          <w:w w:val="110"/>
        </w:rPr>
        <w:t> </w:t>
      </w:r>
      <w:r>
        <w:rPr>
          <w:w w:val="110"/>
        </w:rPr>
        <w:t>quarantined.</w:t>
      </w:r>
    </w:p>
    <w:p>
      <w:pPr>
        <w:pStyle w:val="BodyText"/>
      </w:pPr>
    </w:p>
    <w:p>
      <w:pPr>
        <w:pStyle w:val="BodyText"/>
      </w:pPr>
    </w:p>
    <w:p>
      <w:pPr>
        <w:pStyle w:val="BodyText"/>
        <w:spacing w:line="504" w:lineRule="auto" w:before="193"/>
        <w:ind w:left="119" w:right="107"/>
        <w:jc w:val="both"/>
      </w:pPr>
      <w:r>
        <w:rPr>
          <w:w w:val="110"/>
        </w:rPr>
        <w:t>The involvement of Deputy Minister Nagornykh and Zhelanova in the doping cover up scheme has been well described in other parts of this Report. Dr. Rodchenkov's evidence is that, in several of his regular meetings with Deputy Minister Nagornykh to discuss the cover up scheme, Deputy</w:t>
      </w:r>
      <w:r>
        <w:rPr>
          <w:spacing w:val="66"/>
          <w:w w:val="110"/>
        </w:rPr>
        <w:t> </w:t>
      </w:r>
      <w:r>
        <w:rPr>
          <w:w w:val="110"/>
        </w:rPr>
        <w:t>Minister  Nagornykh told him that Minister of Sport Mutko was aware of everything that they were discussing. Dr. Rodchenkov's evidence is that it is inconceivable that Minister Mutko was not aware of the doping cover up</w:t>
      </w:r>
      <w:r>
        <w:rPr>
          <w:spacing w:val="7"/>
          <w:w w:val="110"/>
        </w:rPr>
        <w:t> </w:t>
      </w:r>
      <w:r>
        <w:rPr>
          <w:w w:val="110"/>
        </w:rPr>
        <w:t>scheme.</w:t>
      </w:r>
    </w:p>
    <w:p>
      <w:pPr>
        <w:pStyle w:val="BodyText"/>
      </w:pPr>
    </w:p>
    <w:p>
      <w:pPr>
        <w:pStyle w:val="BodyText"/>
        <w:spacing w:before="6"/>
        <w:rPr>
          <w:sz w:val="27"/>
        </w:rPr>
      </w:pPr>
    </w:p>
    <w:p>
      <w:pPr>
        <w:pStyle w:val="BodyText"/>
        <w:spacing w:line="504" w:lineRule="auto" w:before="1"/>
        <w:ind w:left="119" w:right="107"/>
        <w:jc w:val="both"/>
      </w:pPr>
      <w:r>
        <w:rPr>
          <w:w w:val="110"/>
        </w:rPr>
        <w:t>The IP has reviewed several documents which tend to corroborate Dr. Rodchenkov's conclusion. These include a report, which Dr. Rodchenkov says he prepared at the request of his FSB handler in January 2015 in response to the ARD documentary on Russian doping. The metadata analysis by the IP confirm that this document was created in January by Dr. Rodchenkov while he was still Director of the Moscow Laboratory. That report starts out IIAthletics was always on doping program." It concludes by saying IIThe same situation is uncontrollable in weightlifting. The use of anabolic steroids is almost year </w:t>
      </w:r>
      <w:r>
        <w:rPr>
          <w:w w:val="125"/>
        </w:rPr>
        <w:t>around."</w:t>
      </w:r>
    </w:p>
    <w:p>
      <w:pPr>
        <w:pStyle w:val="BodyText"/>
        <w:rPr>
          <w:sz w:val="20"/>
        </w:rPr>
      </w:pPr>
    </w:p>
    <w:p>
      <w:pPr>
        <w:pStyle w:val="BodyText"/>
        <w:rPr>
          <w:sz w:val="28"/>
        </w:rPr>
      </w:pPr>
      <w:r>
        <w:rPr/>
        <w:drawing>
          <wp:anchor distT="0" distB="0" distL="0" distR="0" allowOverlap="1" layoutInCell="1" locked="0" behindDoc="0" simplePos="0" relativeHeight="1600">
            <wp:simplePos x="0" y="0"/>
            <wp:positionH relativeFrom="page">
              <wp:posOffset>6484620</wp:posOffset>
            </wp:positionH>
            <wp:positionV relativeFrom="paragraph">
              <wp:posOffset>229708</wp:posOffset>
            </wp:positionV>
            <wp:extent cx="149680" cy="107346"/>
            <wp:effectExtent l="0" t="0" r="0" b="0"/>
            <wp:wrapTopAndBottom/>
            <wp:docPr id="31" name="image87.png" descr=""/>
            <wp:cNvGraphicFramePr>
              <a:graphicFrameLocks noChangeAspect="1"/>
            </wp:cNvGraphicFramePr>
            <a:graphic>
              <a:graphicData uri="http://schemas.openxmlformats.org/drawingml/2006/picture">
                <pic:pic>
                  <pic:nvPicPr>
                    <pic:cNvPr id="32" name="image87.png"/>
                    <pic:cNvPicPr/>
                  </pic:nvPicPr>
                  <pic:blipFill>
                    <a:blip r:embed="rId114" cstate="print"/>
                    <a:stretch>
                      <a:fillRect/>
                    </a:stretch>
                  </pic:blipFill>
                  <pic:spPr>
                    <a:xfrm>
                      <a:off x="0" y="0"/>
                      <a:ext cx="149680" cy="107346"/>
                    </a:xfrm>
                    <a:prstGeom prst="rect">
                      <a:avLst/>
                    </a:prstGeom>
                  </pic:spPr>
                </pic:pic>
              </a:graphicData>
            </a:graphic>
          </wp:anchor>
        </w:drawing>
      </w:r>
    </w:p>
    <w:p>
      <w:pPr>
        <w:spacing w:after="0"/>
        <w:rPr>
          <w:sz w:val="28"/>
        </w:rPr>
        <w:sectPr>
          <w:footerReference w:type="default" r:id="rId113"/>
          <w:pgSz w:w="12240" w:h="15840"/>
          <w:pgMar w:footer="0" w:header="0" w:top="1440" w:bottom="280" w:left="1700" w:right="1680"/>
        </w:sectPr>
      </w:pPr>
    </w:p>
    <w:p>
      <w:pPr>
        <w:pStyle w:val="BodyText"/>
        <w:rPr>
          <w:sz w:val="20"/>
        </w:rPr>
      </w:pPr>
    </w:p>
    <w:p>
      <w:pPr>
        <w:pStyle w:val="BodyText"/>
        <w:spacing w:before="6"/>
        <w:rPr>
          <w:sz w:val="23"/>
        </w:rPr>
      </w:pPr>
    </w:p>
    <w:p>
      <w:pPr>
        <w:pStyle w:val="BodyText"/>
        <w:spacing w:line="504" w:lineRule="auto" w:before="36"/>
        <w:ind w:left="119" w:right="108"/>
        <w:jc w:val="both"/>
      </w:pPr>
      <w:r>
        <w:rPr>
          <w:w w:val="115"/>
        </w:rPr>
        <w:t>The</w:t>
      </w:r>
      <w:r>
        <w:rPr>
          <w:spacing w:val="-16"/>
          <w:w w:val="115"/>
        </w:rPr>
        <w:t> </w:t>
      </w:r>
      <w:r>
        <w:rPr>
          <w:w w:val="115"/>
        </w:rPr>
        <w:t>report</w:t>
      </w:r>
      <w:r>
        <w:rPr>
          <w:spacing w:val="-16"/>
          <w:w w:val="115"/>
        </w:rPr>
        <w:t> </w:t>
      </w:r>
      <w:r>
        <w:rPr>
          <w:w w:val="115"/>
        </w:rPr>
        <w:t>explains</w:t>
      </w:r>
      <w:r>
        <w:rPr>
          <w:spacing w:val="-17"/>
          <w:w w:val="115"/>
        </w:rPr>
        <w:t> </w:t>
      </w:r>
      <w:r>
        <w:rPr>
          <w:w w:val="115"/>
        </w:rPr>
        <w:t>that,</w:t>
      </w:r>
      <w:r>
        <w:rPr>
          <w:spacing w:val="-14"/>
          <w:w w:val="115"/>
        </w:rPr>
        <w:t> </w:t>
      </w:r>
      <w:r>
        <w:rPr>
          <w:w w:val="115"/>
        </w:rPr>
        <w:t>because</w:t>
      </w:r>
      <w:r>
        <w:rPr>
          <w:spacing w:val="-17"/>
          <w:w w:val="115"/>
        </w:rPr>
        <w:t> </w:t>
      </w:r>
      <w:r>
        <w:rPr>
          <w:w w:val="115"/>
        </w:rPr>
        <w:t>of</w:t>
      </w:r>
      <w:r>
        <w:rPr>
          <w:spacing w:val="-14"/>
          <w:w w:val="115"/>
        </w:rPr>
        <w:t> </w:t>
      </w:r>
      <w:r>
        <w:rPr>
          <w:w w:val="115"/>
        </w:rPr>
        <w:t>new</w:t>
      </w:r>
      <w:r>
        <w:rPr>
          <w:spacing w:val="-17"/>
          <w:w w:val="115"/>
        </w:rPr>
        <w:t> </w:t>
      </w:r>
      <w:r>
        <w:rPr>
          <w:w w:val="115"/>
        </w:rPr>
        <w:t>testing</w:t>
      </w:r>
      <w:r>
        <w:rPr>
          <w:spacing w:val="-16"/>
          <w:w w:val="115"/>
        </w:rPr>
        <w:t> </w:t>
      </w:r>
      <w:r>
        <w:rPr>
          <w:w w:val="115"/>
        </w:rPr>
        <w:t>technology,</w:t>
      </w:r>
      <w:r>
        <w:rPr>
          <w:spacing w:val="-18"/>
          <w:w w:val="115"/>
        </w:rPr>
        <w:t> </w:t>
      </w:r>
      <w:r>
        <w:rPr>
          <w:w w:val="115"/>
        </w:rPr>
        <w:t>if</w:t>
      </w:r>
      <w:r>
        <w:rPr>
          <w:spacing w:val="-18"/>
          <w:w w:val="115"/>
        </w:rPr>
        <w:t> </w:t>
      </w:r>
      <w:r>
        <w:rPr>
          <w:w w:val="115"/>
        </w:rPr>
        <w:t>Russian</w:t>
      </w:r>
      <w:r>
        <w:rPr>
          <w:spacing w:val="-17"/>
          <w:w w:val="115"/>
        </w:rPr>
        <w:t> </w:t>
      </w:r>
      <w:r>
        <w:rPr>
          <w:w w:val="115"/>
        </w:rPr>
        <w:t>samples from the 2012 London Games, the Beijing Games or various World Championships were to be retested, two dozen or more Russian athletes from athletics</w:t>
      </w:r>
      <w:r>
        <w:rPr>
          <w:spacing w:val="-25"/>
          <w:w w:val="115"/>
        </w:rPr>
        <w:t> </w:t>
      </w:r>
      <w:r>
        <w:rPr>
          <w:w w:val="115"/>
        </w:rPr>
        <w:t>and</w:t>
      </w:r>
      <w:r>
        <w:rPr>
          <w:spacing w:val="-23"/>
          <w:w w:val="115"/>
        </w:rPr>
        <w:t> </w:t>
      </w:r>
      <w:r>
        <w:rPr>
          <w:w w:val="115"/>
        </w:rPr>
        <w:t>weightlifting</w:t>
      </w:r>
      <w:r>
        <w:rPr>
          <w:spacing w:val="-22"/>
          <w:w w:val="115"/>
        </w:rPr>
        <w:t> </w:t>
      </w:r>
      <w:r>
        <w:rPr>
          <w:w w:val="115"/>
        </w:rPr>
        <w:t>would</w:t>
      </w:r>
      <w:r>
        <w:rPr>
          <w:spacing w:val="-23"/>
          <w:w w:val="115"/>
        </w:rPr>
        <w:t> </w:t>
      </w:r>
      <w:r>
        <w:rPr>
          <w:w w:val="115"/>
        </w:rPr>
        <w:t>be</w:t>
      </w:r>
      <w:r>
        <w:rPr>
          <w:spacing w:val="-23"/>
          <w:w w:val="115"/>
        </w:rPr>
        <w:t> </w:t>
      </w:r>
      <w:r>
        <w:rPr>
          <w:w w:val="115"/>
        </w:rPr>
        <w:t>disqualified.</w:t>
      </w:r>
      <w:r>
        <w:rPr>
          <w:spacing w:val="-23"/>
          <w:w w:val="115"/>
        </w:rPr>
        <w:t> </w:t>
      </w:r>
      <w:r>
        <w:rPr>
          <w:w w:val="115"/>
        </w:rPr>
        <w:t>This</w:t>
      </w:r>
      <w:r>
        <w:rPr>
          <w:spacing w:val="-23"/>
          <w:w w:val="115"/>
        </w:rPr>
        <w:t> </w:t>
      </w:r>
      <w:r>
        <w:rPr>
          <w:w w:val="115"/>
        </w:rPr>
        <w:t>report</w:t>
      </w:r>
      <w:r>
        <w:rPr>
          <w:spacing w:val="-23"/>
          <w:w w:val="115"/>
        </w:rPr>
        <w:t> </w:t>
      </w:r>
      <w:r>
        <w:rPr>
          <w:w w:val="115"/>
        </w:rPr>
        <w:t>makes</w:t>
      </w:r>
      <w:r>
        <w:rPr>
          <w:spacing w:val="-23"/>
          <w:w w:val="115"/>
        </w:rPr>
        <w:t> </w:t>
      </w:r>
      <w:r>
        <w:rPr>
          <w:w w:val="115"/>
        </w:rPr>
        <w:t>clear</w:t>
      </w:r>
      <w:r>
        <w:rPr>
          <w:spacing w:val="-25"/>
          <w:w w:val="115"/>
        </w:rPr>
        <w:t> </w:t>
      </w:r>
      <w:r>
        <w:rPr>
          <w:w w:val="115"/>
        </w:rPr>
        <w:t>that</w:t>
      </w:r>
      <w:r>
        <w:rPr>
          <w:spacing w:val="-23"/>
          <w:w w:val="115"/>
        </w:rPr>
        <w:t> </w:t>
      </w:r>
      <w:r>
        <w:rPr>
          <w:w w:val="115"/>
        </w:rPr>
        <w:t>as of January 2015 the problem of doping in Russian athletics was ongoing: IIIn athletics, from youth to veterans Intense and uninventive doping is still going, </w:t>
      </w:r>
      <w:r>
        <w:rPr>
          <w:spacing w:val="-1"/>
          <w:w w:val="117"/>
        </w:rPr>
        <w:t>and</w:t>
      </w:r>
      <w:r>
        <w:rPr>
          <w:w w:val="117"/>
        </w:rPr>
        <w:t> </w:t>
      </w:r>
      <w:r>
        <w:rPr>
          <w:spacing w:val="-1"/>
          <w:w w:val="112"/>
        </w:rPr>
        <w:t>neither</w:t>
      </w:r>
      <w:r>
        <w:rPr>
          <w:w w:val="112"/>
        </w:rPr>
        <w:t> </w:t>
      </w:r>
      <w:r>
        <w:rPr>
          <w:spacing w:val="-2"/>
          <w:w w:val="111"/>
        </w:rPr>
        <w:t>athletes</w:t>
      </w:r>
      <w:r>
        <w:rPr>
          <w:w w:val="111"/>
        </w:rPr>
        <w:t> </w:t>
      </w:r>
      <w:r>
        <w:rPr>
          <w:spacing w:val="-1"/>
          <w:w w:val="114"/>
        </w:rPr>
        <w:t>nor</w:t>
      </w:r>
      <w:r>
        <w:rPr>
          <w:w w:val="114"/>
        </w:rPr>
        <w:t> </w:t>
      </w:r>
      <w:r>
        <w:rPr>
          <w:spacing w:val="-1"/>
          <w:w w:val="107"/>
        </w:rPr>
        <w:t>coaches</w:t>
      </w:r>
      <w:r>
        <w:rPr>
          <w:w w:val="107"/>
        </w:rPr>
        <w:t> </w:t>
      </w:r>
      <w:r>
        <w:rPr>
          <w:spacing w:val="-1"/>
          <w:w w:val="113"/>
        </w:rPr>
        <w:t>know</w:t>
      </w:r>
      <w:r>
        <w:rPr>
          <w:w w:val="113"/>
        </w:rPr>
        <w:t> </w:t>
      </w:r>
      <w:r>
        <w:rPr>
          <w:spacing w:val="-1"/>
          <w:w w:val="113"/>
        </w:rPr>
        <w:t>how</w:t>
      </w:r>
      <w:r>
        <w:rPr>
          <w:w w:val="113"/>
        </w:rPr>
        <w:t> </w:t>
      </w:r>
      <w:r>
        <w:rPr>
          <w:spacing w:val="-1"/>
          <w:w w:val="113"/>
        </w:rPr>
        <w:t>to</w:t>
      </w:r>
      <w:r>
        <w:rPr>
          <w:w w:val="113"/>
        </w:rPr>
        <w:t> </w:t>
      </w:r>
      <w:r>
        <w:rPr>
          <w:spacing w:val="-1"/>
          <w:w w:val="115"/>
        </w:rPr>
        <w:t>prepare</w:t>
      </w:r>
      <w:r>
        <w:rPr>
          <w:w w:val="115"/>
        </w:rPr>
        <w:t> </w:t>
      </w:r>
      <w:r>
        <w:rPr>
          <w:spacing w:val="-1"/>
          <w:w w:val="114"/>
        </w:rPr>
        <w:t>without</w:t>
      </w:r>
      <w:r>
        <w:rPr>
          <w:w w:val="114"/>
        </w:rPr>
        <w:t> </w:t>
      </w:r>
      <w:r>
        <w:rPr>
          <w:w w:val="186"/>
        </w:rPr>
        <w:t>it." </w:t>
      </w:r>
      <w:r>
        <w:rPr>
          <w:spacing w:val="-1"/>
          <w:w w:val="108"/>
        </w:rPr>
        <w:t>Dr. </w:t>
      </w:r>
      <w:r>
        <w:rPr>
          <w:w w:val="115"/>
        </w:rPr>
        <w:t>Rodchenkov's evidence is that this report found its way to Minister Mutko through</w:t>
      </w:r>
      <w:r>
        <w:rPr>
          <w:spacing w:val="-33"/>
          <w:w w:val="115"/>
        </w:rPr>
        <w:t> </w:t>
      </w:r>
      <w:r>
        <w:rPr>
          <w:w w:val="115"/>
        </w:rPr>
        <w:t>FSB</w:t>
      </w:r>
      <w:r>
        <w:rPr>
          <w:spacing w:val="-33"/>
          <w:w w:val="115"/>
        </w:rPr>
        <w:t> </w:t>
      </w:r>
      <w:r>
        <w:rPr>
          <w:w w:val="115"/>
        </w:rPr>
        <w:t>channels</w:t>
      </w:r>
      <w:r>
        <w:rPr>
          <w:spacing w:val="-33"/>
          <w:w w:val="115"/>
        </w:rPr>
        <w:t> </w:t>
      </w:r>
      <w:r>
        <w:rPr>
          <w:w w:val="115"/>
        </w:rPr>
        <w:t>and</w:t>
      </w:r>
      <w:r>
        <w:rPr>
          <w:spacing w:val="-33"/>
          <w:w w:val="115"/>
        </w:rPr>
        <w:t> </w:t>
      </w:r>
      <w:r>
        <w:rPr>
          <w:w w:val="115"/>
        </w:rPr>
        <w:t>that</w:t>
      </w:r>
      <w:r>
        <w:rPr>
          <w:spacing w:val="-34"/>
          <w:w w:val="115"/>
        </w:rPr>
        <w:t> </w:t>
      </w:r>
      <w:r>
        <w:rPr>
          <w:w w:val="115"/>
        </w:rPr>
        <w:t>he</w:t>
      </w:r>
      <w:r>
        <w:rPr>
          <w:spacing w:val="-35"/>
          <w:w w:val="115"/>
        </w:rPr>
        <w:t> </w:t>
      </w:r>
      <w:r>
        <w:rPr>
          <w:w w:val="115"/>
        </w:rPr>
        <w:t>was</w:t>
      </w:r>
      <w:r>
        <w:rPr>
          <w:spacing w:val="-32"/>
          <w:w w:val="115"/>
        </w:rPr>
        <w:t> </w:t>
      </w:r>
      <w:r>
        <w:rPr>
          <w:w w:val="115"/>
        </w:rPr>
        <w:t>called</w:t>
      </w:r>
      <w:r>
        <w:rPr>
          <w:spacing w:val="-33"/>
          <w:w w:val="115"/>
        </w:rPr>
        <w:t> </w:t>
      </w:r>
      <w:r>
        <w:rPr>
          <w:w w:val="115"/>
        </w:rPr>
        <w:t>in</w:t>
      </w:r>
      <w:r>
        <w:rPr>
          <w:spacing w:val="-32"/>
          <w:w w:val="115"/>
        </w:rPr>
        <w:t> </w:t>
      </w:r>
      <w:r>
        <w:rPr>
          <w:w w:val="115"/>
        </w:rPr>
        <w:t>by</w:t>
      </w:r>
      <w:r>
        <w:rPr>
          <w:spacing w:val="-34"/>
          <w:w w:val="115"/>
        </w:rPr>
        <w:t> </w:t>
      </w:r>
      <w:r>
        <w:rPr>
          <w:w w:val="115"/>
        </w:rPr>
        <w:t>Minister</w:t>
      </w:r>
      <w:r>
        <w:rPr>
          <w:spacing w:val="-31"/>
          <w:w w:val="115"/>
        </w:rPr>
        <w:t> </w:t>
      </w:r>
      <w:r>
        <w:rPr>
          <w:w w:val="115"/>
        </w:rPr>
        <w:t>Mutko</w:t>
      </w:r>
      <w:r>
        <w:rPr>
          <w:spacing w:val="-32"/>
          <w:w w:val="115"/>
        </w:rPr>
        <w:t> </w:t>
      </w:r>
      <w:r>
        <w:rPr>
          <w:w w:val="115"/>
        </w:rPr>
        <w:t>to</w:t>
      </w:r>
      <w:r>
        <w:rPr>
          <w:spacing w:val="-34"/>
          <w:w w:val="115"/>
        </w:rPr>
        <w:t> </w:t>
      </w:r>
      <w:r>
        <w:rPr>
          <w:w w:val="115"/>
        </w:rPr>
        <w:t>explain</w:t>
      </w:r>
      <w:r>
        <w:rPr>
          <w:spacing w:val="-35"/>
          <w:w w:val="115"/>
        </w:rPr>
        <w:t> </w:t>
      </w:r>
      <w:r>
        <w:rPr>
          <w:w w:val="115"/>
        </w:rPr>
        <w:t>it.</w:t>
      </w:r>
    </w:p>
    <w:p>
      <w:pPr>
        <w:pStyle w:val="BodyText"/>
      </w:pPr>
    </w:p>
    <w:p>
      <w:pPr>
        <w:pStyle w:val="BodyText"/>
        <w:spacing w:before="2"/>
        <w:rPr>
          <w:sz w:val="27"/>
        </w:rPr>
      </w:pPr>
    </w:p>
    <w:p>
      <w:pPr>
        <w:pStyle w:val="BodyText"/>
        <w:spacing w:line="504" w:lineRule="auto"/>
        <w:ind w:left="119" w:right="105"/>
        <w:jc w:val="both"/>
      </w:pPr>
      <w:r>
        <w:rPr>
          <w:w w:val="110"/>
        </w:rPr>
        <w:t>A second document viewed by the IP is an advanced list of athletes going to the Sochi Games who were to be protected against testing positive. The IP examination in this document establishes that it was prepared on Velikodniy's computer before the Sochi Games. Dr. Rodchenkov's evidence is that Velikodniy told him that this document was prepared to impress Minister Mutko. Selected excerpts from Dr. Rodchenkov's diary reflect several meetings with Minister Mutko in the month prior to and during Sochi Games. Dr. Rodchenkov's</w:t>
      </w:r>
      <w:r>
        <w:rPr>
          <w:spacing w:val="66"/>
          <w:w w:val="110"/>
        </w:rPr>
        <w:t> </w:t>
      </w:r>
      <w:r>
        <w:rPr>
          <w:w w:val="110"/>
        </w:rPr>
        <w:t>evidence is that the doping cover up plan for Sochi was discussed at those meetings.</w:t>
      </w:r>
    </w:p>
    <w:p>
      <w:pPr>
        <w:spacing w:after="0" w:line="504" w:lineRule="auto"/>
        <w:jc w:val="both"/>
        <w:sectPr>
          <w:footerReference w:type="default" r:id="rId115"/>
          <w:pgSz w:w="12240" w:h="15840"/>
          <w:pgMar w:footer="712" w:header="0" w:top="1500" w:bottom="900" w:left="1700" w:right="1680"/>
        </w:sectPr>
      </w:pPr>
    </w:p>
    <w:p>
      <w:pPr>
        <w:pStyle w:val="BodyText"/>
        <w:spacing w:line="504" w:lineRule="auto" w:before="16"/>
        <w:ind w:left="119" w:right="106"/>
        <w:jc w:val="both"/>
      </w:pPr>
      <w:r>
        <w:rPr>
          <w:w w:val="110"/>
        </w:rPr>
        <w:t>Finally, reference is made to the IC Report in which Minister Mutko's role in the scandal and bribery attempt involving the IAAF and Russian racewalkers was more fully discussed. Dr. Rodchenkov's evidence is that in September 2012, he met with Minister Mutko to discuss the IAAF's extortion demand. At that meeting, Minister Mutko asked Dr. Rodchenkov whether the situation was really so bad that he needed to pay all of that money, thereby exposing his knowledge of the doping problem in Russian</w:t>
      </w:r>
      <w:r>
        <w:rPr>
          <w:spacing w:val="-26"/>
          <w:w w:val="110"/>
        </w:rPr>
        <w:t> </w:t>
      </w:r>
      <w:r>
        <w:rPr>
          <w:w w:val="110"/>
        </w:rPr>
        <w:t>Athletics.</w:t>
      </w:r>
    </w:p>
    <w:p>
      <w:pPr>
        <w:pStyle w:val="BodyText"/>
      </w:pPr>
    </w:p>
    <w:p>
      <w:pPr>
        <w:pStyle w:val="BodyText"/>
      </w:pPr>
    </w:p>
    <w:p>
      <w:pPr>
        <w:pStyle w:val="BodyText"/>
        <w:spacing w:line="501" w:lineRule="auto" w:before="199"/>
        <w:ind w:left="119" w:right="104"/>
        <w:jc w:val="both"/>
      </w:pPr>
      <w:r>
        <w:rPr>
          <w:w w:val="110"/>
        </w:rPr>
        <w:t>On paper it appears that the Moscow Laboratory is wholly independent from the MofS. The IP investigation establishes the actual operational interference and control in the Moscow Laboratory by the MofS. See the description of the operations of the Moscow Laboratory in Chapter 3.</w:t>
      </w:r>
    </w:p>
    <w:p>
      <w:pPr>
        <w:pStyle w:val="BodyText"/>
      </w:pPr>
    </w:p>
    <w:p>
      <w:pPr>
        <w:pStyle w:val="BodyText"/>
      </w:pPr>
    </w:p>
    <w:p>
      <w:pPr>
        <w:pStyle w:val="BodyText"/>
        <w:rPr>
          <w:sz w:val="35"/>
        </w:rPr>
      </w:pPr>
    </w:p>
    <w:p>
      <w:pPr>
        <w:pStyle w:val="ListParagraph"/>
        <w:numPr>
          <w:ilvl w:val="1"/>
          <w:numId w:val="19"/>
        </w:numPr>
        <w:tabs>
          <w:tab w:pos="479" w:val="left" w:leader="none"/>
        </w:tabs>
        <w:spacing w:line="240" w:lineRule="auto" w:before="0" w:after="0"/>
        <w:ind w:left="478" w:right="0" w:hanging="359"/>
        <w:jc w:val="both"/>
        <w:rPr>
          <w:rFonts w:ascii="Georgia"/>
          <w:sz w:val="24"/>
        </w:rPr>
      </w:pPr>
      <w:r>
        <w:rPr>
          <w:rFonts w:ascii="Georgia"/>
          <w:sz w:val="24"/>
        </w:rPr>
        <w:t>The Federal Security Service of the Russian Federation  </w:t>
      </w:r>
      <w:r>
        <w:rPr>
          <w:rFonts w:ascii="Georgia"/>
          <w:spacing w:val="24"/>
          <w:sz w:val="24"/>
        </w:rPr>
        <w:t> </w:t>
      </w:r>
      <w:r>
        <w:rPr>
          <w:rFonts w:ascii="Georgia"/>
          <w:sz w:val="24"/>
        </w:rPr>
        <w:t>(FSB)</w:t>
      </w:r>
    </w:p>
    <w:p>
      <w:pPr>
        <w:pStyle w:val="BodyText"/>
        <w:rPr>
          <w:rFonts w:ascii="Georgia"/>
        </w:rPr>
      </w:pPr>
    </w:p>
    <w:p>
      <w:pPr>
        <w:pStyle w:val="BodyText"/>
        <w:rPr>
          <w:rFonts w:ascii="Georgia"/>
        </w:rPr>
      </w:pPr>
    </w:p>
    <w:p>
      <w:pPr>
        <w:pStyle w:val="BodyText"/>
        <w:spacing w:line="504" w:lineRule="auto" w:before="210"/>
        <w:ind w:left="119" w:right="107"/>
        <w:jc w:val="both"/>
      </w:pPr>
      <w:r>
        <w:rPr>
          <w:w w:val="110"/>
        </w:rPr>
        <w:t>The FSB is the successor of the KGB and has responsibility for all security operations at home and abroad. There is a paucity of public  information  in regard to the workings of the FSB. In the time the IP had to investigate this</w:t>
      </w:r>
      <w:r>
        <w:rPr>
          <w:spacing w:val="66"/>
          <w:w w:val="110"/>
        </w:rPr>
        <w:t> </w:t>
      </w:r>
      <w:r>
        <w:rPr>
          <w:w w:val="110"/>
        </w:rPr>
        <w:t>aspect of its mandate it was not possible to fully determine the role of the FSB in sport and doping.  The IP has only gained a glimpse into the FSB's</w:t>
      </w:r>
      <w:r>
        <w:rPr>
          <w:spacing w:val="-36"/>
          <w:w w:val="110"/>
        </w:rPr>
        <w:t> </w:t>
      </w:r>
      <w:r>
        <w:rPr>
          <w:w w:val="110"/>
        </w:rPr>
        <w:t>operations.</w:t>
      </w:r>
    </w:p>
    <w:p>
      <w:pPr>
        <w:spacing w:after="0" w:line="504" w:lineRule="auto"/>
        <w:jc w:val="both"/>
        <w:sectPr>
          <w:pgSz w:w="12240" w:h="15840"/>
          <w:pgMar w:header="0" w:footer="712" w:top="1440" w:bottom="900" w:left="1700" w:right="1680"/>
        </w:sectPr>
      </w:pPr>
    </w:p>
    <w:p>
      <w:pPr>
        <w:pStyle w:val="BodyText"/>
        <w:spacing w:line="504" w:lineRule="auto" w:before="16"/>
        <w:ind w:left="119" w:right="105"/>
        <w:jc w:val="both"/>
      </w:pPr>
      <w:r>
        <w:rPr>
          <w:w w:val="110"/>
        </w:rPr>
        <w:t>The IP investigation has identified a role played by FSB Blokhin and two other unidentified persons from the FSB in the operations of both the Moscow and the Sochi laboratories. The FSB role is not interference and control, like that of the Deputy Minister of Sport, but assistance in arranging and operating the State sponsored system of sample swapping that occurred in connection with: the 2013 University Games and IAAF Championships, the Sochi laboratory and in the</w:t>
      </w:r>
      <w:r>
        <w:rPr>
          <w:spacing w:val="66"/>
          <w:w w:val="110"/>
        </w:rPr>
        <w:t> </w:t>
      </w:r>
      <w:r>
        <w:rPr>
          <w:w w:val="110"/>
        </w:rPr>
        <w:t>lead up to the WADA seizure of samples in December 2014. Dr. Rodchenkov was stitched into the FSB structure in furtherance of the FSB assistance to the laboratories. Dr. Rodchenkov informed the IP during a face to face  interview  that when he became the Director of the Moscow Laboratory he signed a document which made him an FSB agent code name "KUTS". He was responsible for reporting everything to his FSB superior from which the</w:t>
      </w:r>
      <w:r>
        <w:rPr>
          <w:spacing w:val="66"/>
          <w:w w:val="110"/>
        </w:rPr>
        <w:t> </w:t>
      </w:r>
      <w:r>
        <w:rPr>
          <w:w w:val="110"/>
        </w:rPr>
        <w:t>reporting would go up the chain of command to an FSB</w:t>
      </w:r>
      <w:r>
        <w:rPr>
          <w:spacing w:val="-37"/>
          <w:w w:val="110"/>
        </w:rPr>
        <w:t> </w:t>
      </w:r>
      <w:r>
        <w:rPr>
          <w:w w:val="110"/>
        </w:rPr>
        <w:t>General.</w:t>
      </w:r>
    </w:p>
    <w:p>
      <w:pPr>
        <w:pStyle w:val="BodyText"/>
      </w:pPr>
    </w:p>
    <w:p>
      <w:pPr>
        <w:pStyle w:val="BodyText"/>
      </w:pPr>
    </w:p>
    <w:p>
      <w:pPr>
        <w:pStyle w:val="BodyText"/>
        <w:spacing w:before="9"/>
        <w:rPr>
          <w:sz w:val="30"/>
        </w:rPr>
      </w:pPr>
    </w:p>
    <w:p>
      <w:pPr>
        <w:pStyle w:val="BodyText"/>
        <w:spacing w:line="504" w:lineRule="auto"/>
        <w:ind w:left="119" w:right="107"/>
        <w:jc w:val="both"/>
      </w:pPr>
      <w:r>
        <w:rPr>
          <w:w w:val="110"/>
        </w:rPr>
        <w:t>The FSB agent who most regularly visited the Moscow Laboratory was Officer Blokhin. FSB Blokhin was under a different FSB chain of command structure than Dr. Rodchenkov. Dr. Rodchenkov's evidence is that FSB Blokhin was very involved in collecting sample bottles and caps of bottles from the Moscow laboratory. This was all part of the FSB's work to develop a methodology for removing the caps on urine sample bottles described in Chapter 5.</w:t>
      </w:r>
    </w:p>
    <w:p>
      <w:pPr>
        <w:spacing w:after="0" w:line="504" w:lineRule="auto"/>
        <w:jc w:val="both"/>
        <w:sectPr>
          <w:pgSz w:w="12240" w:h="15840"/>
          <w:pgMar w:header="0" w:footer="712" w:top="1440" w:bottom="900" w:left="1700" w:right="1680"/>
        </w:sectPr>
      </w:pPr>
    </w:p>
    <w:p>
      <w:pPr>
        <w:pStyle w:val="BodyText"/>
        <w:spacing w:line="504" w:lineRule="auto" w:before="16"/>
        <w:ind w:left="119" w:right="105"/>
        <w:jc w:val="both"/>
      </w:pPr>
      <w:r>
        <w:rPr>
          <w:w w:val="110"/>
        </w:rPr>
        <w:t>Chapter 5 details the FSB's involvement in the Sochi Games including the FSB's role in removing bottle caps and providing clean urine for sample swapping during the Sochi Games. In addition, the FSB had an operations room and a sleeping room on the 4</w:t>
      </w:r>
      <w:r>
        <w:rPr>
          <w:w w:val="110"/>
          <w:position w:val="6"/>
          <w:sz w:val="16"/>
        </w:rPr>
        <w:t>th </w:t>
      </w:r>
      <w:r>
        <w:rPr>
          <w:w w:val="110"/>
        </w:rPr>
        <w:t>floor of the Sochi Laboratory and FSB Blokhin had access to the Laboratory as an accredited persons under the cover of being a sewage and plumbing employee of the building service maintenance contractor, Bilfinger.</w:t>
      </w:r>
    </w:p>
    <w:p>
      <w:pPr>
        <w:pStyle w:val="BodyText"/>
      </w:pPr>
    </w:p>
    <w:p>
      <w:pPr>
        <w:pStyle w:val="BodyText"/>
      </w:pPr>
    </w:p>
    <w:p>
      <w:pPr>
        <w:pStyle w:val="BodyText"/>
        <w:spacing w:before="1"/>
        <w:rPr>
          <w:sz w:val="31"/>
        </w:rPr>
      </w:pPr>
    </w:p>
    <w:p>
      <w:pPr>
        <w:pStyle w:val="BodyText"/>
        <w:spacing w:line="504" w:lineRule="auto"/>
        <w:ind w:left="119" w:right="105"/>
        <w:jc w:val="both"/>
      </w:pPr>
      <w:r>
        <w:rPr>
          <w:w w:val="110"/>
        </w:rPr>
        <w:t>The IP has reliable evidence that FSB Blokhin was seen by IP witnesses entering the Sochi laboratory when others were leaving for the evening and from time to time he was seen in a Bilfinger uniform in and around the laboratory. FSB Blokhin was identified in his undercover role as a Bilfinger employee on the list of individuals who were given access to the laboratory. The IP has reviewed this document. Dr. Rodchenkov has also provided the IP with a picture of FSB Blokhin and several other individuals in Dr. Rodchenkov's office in the Sochi Laboratory. Dr. Rodchenkov's evidence also notes that Thierry Boghossian, a WADA Science Department employee and member of the Independent Observer Team, was put under FSB surveillance to make sure that if he visited the Laboratory in the middle of the night individuals involved in swapping samples would be forewarned. Dr. Rodchenkov has also described meeting with more senior FSB officials immediately before and during the Sochi Games where the doping plan was discussed.</w:t>
      </w:r>
    </w:p>
    <w:p>
      <w:pPr>
        <w:spacing w:after="0" w:line="504" w:lineRule="auto"/>
        <w:jc w:val="both"/>
        <w:sectPr>
          <w:pgSz w:w="12240" w:h="15840"/>
          <w:pgMar w:header="0" w:footer="712" w:top="1440" w:bottom="900" w:left="1700" w:right="1680"/>
        </w:sectPr>
      </w:pPr>
    </w:p>
    <w:p>
      <w:pPr>
        <w:pStyle w:val="BodyText"/>
        <w:rPr>
          <w:sz w:val="20"/>
        </w:rPr>
      </w:pPr>
    </w:p>
    <w:p>
      <w:pPr>
        <w:pStyle w:val="BodyText"/>
        <w:rPr>
          <w:sz w:val="20"/>
        </w:rPr>
      </w:pPr>
    </w:p>
    <w:p>
      <w:pPr>
        <w:pStyle w:val="BodyText"/>
        <w:spacing w:before="3"/>
        <w:rPr>
          <w:sz w:val="17"/>
        </w:rPr>
      </w:pPr>
    </w:p>
    <w:p>
      <w:pPr>
        <w:pStyle w:val="BodyText"/>
        <w:spacing w:line="504" w:lineRule="auto" w:before="36"/>
        <w:ind w:left="119" w:right="103"/>
        <w:jc w:val="both"/>
      </w:pPr>
      <w:r>
        <w:rPr>
          <w:w w:val="110"/>
        </w:rPr>
        <w:t>Dr. Rodchenkov's evidence is also that there was an FSB agent in each Sochi doping control station responsible for sending the DCFs for protected Russian athletes to Irina Rodionova to be forwarded to Dr. Rodchenkov or his secretary</w:t>
      </w:r>
      <w:r>
        <w:rPr>
          <w:spacing w:val="66"/>
          <w:w w:val="110"/>
        </w:rPr>
        <w:t> </w:t>
      </w:r>
      <w:r>
        <w:rPr>
          <w:w w:val="110"/>
        </w:rPr>
        <w:t>to ensure that the correct samples were</w:t>
      </w:r>
      <w:r>
        <w:rPr>
          <w:spacing w:val="44"/>
          <w:w w:val="110"/>
        </w:rPr>
        <w:t> </w:t>
      </w:r>
      <w:r>
        <w:rPr>
          <w:w w:val="110"/>
        </w:rPr>
        <w:t>swapped.</w:t>
      </w:r>
    </w:p>
    <w:p>
      <w:pPr>
        <w:pStyle w:val="BodyText"/>
      </w:pPr>
    </w:p>
    <w:p>
      <w:pPr>
        <w:pStyle w:val="BodyText"/>
      </w:pPr>
    </w:p>
    <w:p>
      <w:pPr>
        <w:pStyle w:val="BodyText"/>
        <w:spacing w:before="8"/>
        <w:rPr>
          <w:sz w:val="30"/>
        </w:rPr>
      </w:pPr>
    </w:p>
    <w:p>
      <w:pPr>
        <w:pStyle w:val="BodyText"/>
        <w:spacing w:line="504" w:lineRule="auto"/>
        <w:ind w:left="119" w:right="99"/>
        <w:jc w:val="both"/>
      </w:pPr>
      <w:r>
        <w:rPr>
          <w:w w:val="110"/>
        </w:rPr>
        <w:t>While the IP has not found communications between FSB Blokhin and his superiors in the FSB chain of command, that is not surprising given that the FSB is a secret service organization. Were FSB Blokhin's actions approved at the highest level of the FSB and the State? The IP cannot say. Similar questions of accountability were asked in the United Kingdom by "The Vitvinenko Inquiry" chaired by Sir Robert Owen whose report was published in January 2016.</w:t>
      </w:r>
      <w:r>
        <w:rPr>
          <w:w w:val="110"/>
          <w:position w:val="6"/>
          <w:sz w:val="16"/>
        </w:rPr>
        <w:t>9 </w:t>
      </w:r>
      <w:r>
        <w:rPr>
          <w:w w:val="110"/>
        </w:rPr>
        <w:t>The Inquiry received expert evidence from Professor Robert Service on the nature of the Russian State.</w:t>
      </w:r>
      <w:r>
        <w:rPr>
          <w:w w:val="110"/>
          <w:position w:val="6"/>
          <w:sz w:val="16"/>
        </w:rPr>
        <w:t>10 </w:t>
      </w:r>
      <w:r>
        <w:rPr>
          <w:w w:val="110"/>
        </w:rPr>
        <w:t>He emphasised the paucity of public information relating to the inner workings of the FSB being the successor of the KGB. Professor Service notes in paragraph 36 of his evidence:</w:t>
      </w:r>
    </w:p>
    <w:p>
      <w:pPr>
        <w:spacing w:line="429" w:lineRule="auto" w:before="143"/>
        <w:ind w:left="628" w:right="624" w:firstLine="0"/>
        <w:jc w:val="left"/>
        <w:rPr>
          <w:rFonts w:ascii="Palatino Linotype"/>
          <w:i/>
          <w:sz w:val="24"/>
        </w:rPr>
      </w:pPr>
      <w:r>
        <w:rPr>
          <w:rFonts w:ascii="Palatino Linotype"/>
          <w:i/>
          <w:sz w:val="24"/>
        </w:rPr>
        <w:t>"While all academics, media commentators and reporters make much of </w:t>
      </w:r>
      <w:r>
        <w:rPr>
          <w:rFonts w:ascii="Palatino Linotype"/>
          <w:i/>
          <w:sz w:val="24"/>
        </w:rPr>
        <w:t>Putin's  earlier  careers  in  the  KGB  and  the  FSB,  there  have  appeared</w:t>
      </w:r>
      <w:r>
        <w:rPr>
          <w:rFonts w:ascii="Palatino Linotype"/>
          <w:i/>
          <w:spacing w:val="56"/>
          <w:sz w:val="24"/>
        </w:rPr>
        <w:t> </w:t>
      </w:r>
      <w:r>
        <w:rPr>
          <w:rFonts w:ascii="Palatino Linotype"/>
          <w:i/>
          <w:sz w:val="24"/>
        </w:rPr>
        <w:t>no</w:t>
      </w:r>
    </w:p>
    <w:p>
      <w:pPr>
        <w:pStyle w:val="BodyText"/>
        <w:spacing w:before="8"/>
        <w:rPr>
          <w:rFonts w:ascii="Palatino Linotype"/>
          <w:i/>
        </w:rPr>
      </w:pPr>
      <w:r>
        <w:rPr/>
        <w:pict>
          <v:line style="position:absolute;mso-position-horizontal-relative:page;mso-position-vertical-relative:paragraph;z-index:1624;mso-wrap-distance-left:0;mso-wrap-distance-right:0" from="90.839996pt,18.838531pt" to="234.959996pt,18.838531pt" stroked="true" strokeweight=".600010pt" strokecolor="#000000">
            <w10:wrap type="topAndBottom"/>
          </v:line>
        </w:pict>
      </w:r>
    </w:p>
    <w:p>
      <w:pPr>
        <w:spacing w:before="81"/>
        <w:ind w:left="119" w:right="0" w:firstLine="0"/>
        <w:jc w:val="both"/>
        <w:rPr>
          <w:sz w:val="19"/>
        </w:rPr>
      </w:pPr>
      <w:r>
        <w:rPr>
          <w:w w:val="115"/>
          <w:position w:val="5"/>
          <w:sz w:val="13"/>
        </w:rPr>
        <w:t>9 </w:t>
      </w:r>
      <w:r>
        <w:rPr>
          <w:w w:val="115"/>
          <w:sz w:val="19"/>
        </w:rPr>
        <w:t>Owen, R., 2016. 'The Litvinenko Inquiry' </w:t>
      </w:r>
      <w:r>
        <w:rPr>
          <w:w w:val="125"/>
          <w:sz w:val="19"/>
        </w:rPr>
        <w:t>- </w:t>
      </w:r>
      <w:r>
        <w:rPr>
          <w:w w:val="115"/>
          <w:sz w:val="19"/>
        </w:rPr>
        <w:t>Report into the death of Alexander Litvinenko.'</w:t>
      </w:r>
    </w:p>
    <w:p>
      <w:pPr>
        <w:spacing w:line="264" w:lineRule="auto" w:before="21"/>
        <w:ind w:left="119" w:right="0" w:firstLine="0"/>
        <w:jc w:val="left"/>
        <w:rPr>
          <w:sz w:val="19"/>
        </w:rPr>
      </w:pPr>
      <w:r>
        <w:rPr>
          <w:w w:val="112"/>
          <w:sz w:val="19"/>
        </w:rPr>
        <w:t>[Online] </w:t>
      </w:r>
      <w:r>
        <w:rPr>
          <w:w w:val="113"/>
          <w:sz w:val="19"/>
        </w:rPr>
        <w:t>Available </w:t>
      </w:r>
      <w:r>
        <w:rPr>
          <w:w w:val="110"/>
          <w:sz w:val="19"/>
        </w:rPr>
        <w:t>at: </w:t>
      </w:r>
      <w:r>
        <w:rPr>
          <w:w w:val="120"/>
          <w:sz w:val="19"/>
        </w:rPr>
        <w:t>https://</w:t>
      </w:r>
      <w:hyperlink r:id="rId116">
        <w:r>
          <w:rPr>
            <w:w w:val="120"/>
            <w:sz w:val="19"/>
          </w:rPr>
          <w:t>www.litvinenkoinquiry.org/files/Litvinenko-Inquiry-Report-web-</w:t>
        </w:r>
      </w:hyperlink>
      <w:r>
        <w:rPr>
          <w:w w:val="120"/>
          <w:sz w:val="19"/>
        </w:rPr>
        <w:t> </w:t>
      </w:r>
      <w:r>
        <w:rPr>
          <w:w w:val="115"/>
          <w:sz w:val="19"/>
        </w:rPr>
        <w:t>version.pdf [Accessed 21 January 2016].</w:t>
      </w:r>
    </w:p>
    <w:p>
      <w:pPr>
        <w:spacing w:line="266" w:lineRule="auto" w:before="0"/>
        <w:ind w:left="119" w:right="671" w:firstLine="0"/>
        <w:jc w:val="both"/>
        <w:rPr>
          <w:sz w:val="19"/>
        </w:rPr>
      </w:pPr>
      <w:r>
        <w:rPr>
          <w:w w:val="115"/>
          <w:position w:val="5"/>
          <w:sz w:val="13"/>
        </w:rPr>
        <w:t>10</w:t>
      </w:r>
      <w:r>
        <w:rPr>
          <w:spacing w:val="8"/>
          <w:w w:val="115"/>
          <w:position w:val="5"/>
          <w:sz w:val="13"/>
        </w:rPr>
        <w:t> </w:t>
      </w:r>
      <w:r>
        <w:rPr>
          <w:w w:val="115"/>
          <w:sz w:val="19"/>
        </w:rPr>
        <w:t>Service,</w:t>
      </w:r>
      <w:r>
        <w:rPr>
          <w:spacing w:val="-8"/>
          <w:w w:val="115"/>
          <w:sz w:val="19"/>
        </w:rPr>
        <w:t> </w:t>
      </w:r>
      <w:r>
        <w:rPr>
          <w:w w:val="115"/>
          <w:sz w:val="19"/>
        </w:rPr>
        <w:t>R.,</w:t>
      </w:r>
      <w:r>
        <w:rPr>
          <w:spacing w:val="-5"/>
          <w:w w:val="115"/>
          <w:sz w:val="19"/>
        </w:rPr>
        <w:t> </w:t>
      </w:r>
      <w:r>
        <w:rPr>
          <w:w w:val="115"/>
          <w:sz w:val="19"/>
        </w:rPr>
        <w:t>2015.</w:t>
      </w:r>
      <w:r>
        <w:rPr>
          <w:spacing w:val="-6"/>
          <w:w w:val="115"/>
          <w:sz w:val="19"/>
        </w:rPr>
        <w:t> </w:t>
      </w:r>
      <w:r>
        <w:rPr>
          <w:w w:val="115"/>
          <w:sz w:val="19"/>
        </w:rPr>
        <w:t>'Expert</w:t>
      </w:r>
      <w:r>
        <w:rPr>
          <w:spacing w:val="-6"/>
          <w:w w:val="115"/>
          <w:sz w:val="19"/>
        </w:rPr>
        <w:t> </w:t>
      </w:r>
      <w:r>
        <w:rPr>
          <w:w w:val="115"/>
          <w:sz w:val="19"/>
        </w:rPr>
        <w:t>evidence</w:t>
      </w:r>
      <w:r>
        <w:rPr>
          <w:spacing w:val="-6"/>
          <w:w w:val="115"/>
          <w:sz w:val="19"/>
        </w:rPr>
        <w:t> </w:t>
      </w:r>
      <w:r>
        <w:rPr>
          <w:w w:val="115"/>
          <w:sz w:val="19"/>
        </w:rPr>
        <w:t>on</w:t>
      </w:r>
      <w:r>
        <w:rPr>
          <w:spacing w:val="-7"/>
          <w:w w:val="115"/>
          <w:sz w:val="19"/>
        </w:rPr>
        <w:t> </w:t>
      </w:r>
      <w:r>
        <w:rPr>
          <w:w w:val="115"/>
          <w:sz w:val="19"/>
        </w:rPr>
        <w:t>modern</w:t>
      </w:r>
      <w:r>
        <w:rPr>
          <w:spacing w:val="-5"/>
          <w:w w:val="115"/>
          <w:sz w:val="19"/>
        </w:rPr>
        <w:t> </w:t>
      </w:r>
      <w:r>
        <w:rPr>
          <w:w w:val="115"/>
          <w:sz w:val="19"/>
        </w:rPr>
        <w:t>Russian</w:t>
      </w:r>
      <w:r>
        <w:rPr>
          <w:spacing w:val="-6"/>
          <w:w w:val="115"/>
          <w:sz w:val="19"/>
        </w:rPr>
        <w:t> </w:t>
      </w:r>
      <w:r>
        <w:rPr>
          <w:w w:val="115"/>
          <w:sz w:val="19"/>
        </w:rPr>
        <w:t>history</w:t>
      </w:r>
      <w:r>
        <w:rPr>
          <w:spacing w:val="-4"/>
          <w:w w:val="115"/>
          <w:sz w:val="19"/>
        </w:rPr>
        <w:t> </w:t>
      </w:r>
      <w:r>
        <w:rPr>
          <w:w w:val="125"/>
          <w:sz w:val="19"/>
        </w:rPr>
        <w:t>-</w:t>
      </w:r>
      <w:r>
        <w:rPr>
          <w:spacing w:val="-11"/>
          <w:w w:val="125"/>
          <w:sz w:val="19"/>
        </w:rPr>
        <w:t> </w:t>
      </w:r>
      <w:r>
        <w:rPr>
          <w:w w:val="115"/>
          <w:sz w:val="19"/>
        </w:rPr>
        <w:t>Report</w:t>
      </w:r>
      <w:r>
        <w:rPr>
          <w:spacing w:val="-6"/>
          <w:w w:val="115"/>
          <w:sz w:val="19"/>
        </w:rPr>
        <w:t> </w:t>
      </w:r>
      <w:r>
        <w:rPr>
          <w:w w:val="115"/>
          <w:sz w:val="19"/>
        </w:rPr>
        <w:t>for</w:t>
      </w:r>
      <w:r>
        <w:rPr>
          <w:spacing w:val="-5"/>
          <w:w w:val="115"/>
          <w:sz w:val="19"/>
        </w:rPr>
        <w:t> </w:t>
      </w:r>
      <w:r>
        <w:rPr>
          <w:w w:val="115"/>
          <w:sz w:val="19"/>
        </w:rPr>
        <w:t>the</w:t>
      </w:r>
      <w:r>
        <w:rPr>
          <w:spacing w:val="-4"/>
          <w:w w:val="115"/>
          <w:sz w:val="19"/>
        </w:rPr>
        <w:t> </w:t>
      </w:r>
      <w:r>
        <w:rPr>
          <w:w w:val="115"/>
          <w:sz w:val="19"/>
        </w:rPr>
        <w:t>Litvinenko </w:t>
      </w:r>
      <w:r>
        <w:rPr>
          <w:spacing w:val="1"/>
          <w:w w:val="119"/>
          <w:sz w:val="19"/>
        </w:rPr>
        <w:t>Inquiry.'</w:t>
      </w:r>
      <w:r>
        <w:rPr>
          <w:w w:val="119"/>
          <w:sz w:val="19"/>
        </w:rPr>
        <w:t> </w:t>
      </w:r>
      <w:r>
        <w:rPr>
          <w:w w:val="112"/>
          <w:sz w:val="19"/>
        </w:rPr>
        <w:t>[Online] </w:t>
      </w:r>
      <w:r>
        <w:rPr>
          <w:spacing w:val="1"/>
          <w:w w:val="113"/>
          <w:sz w:val="19"/>
        </w:rPr>
        <w:t>Available</w:t>
      </w:r>
      <w:r>
        <w:rPr>
          <w:w w:val="113"/>
          <w:sz w:val="19"/>
        </w:rPr>
        <w:t> </w:t>
      </w:r>
      <w:r>
        <w:rPr>
          <w:w w:val="111"/>
          <w:sz w:val="19"/>
        </w:rPr>
        <w:t>at: </w:t>
      </w:r>
      <w:r>
        <w:rPr>
          <w:spacing w:val="1"/>
          <w:w w:val="120"/>
          <w:sz w:val="19"/>
        </w:rPr>
        <w:t>https://</w:t>
      </w:r>
      <w:hyperlink r:id="rId117">
        <w:r>
          <w:rPr>
            <w:spacing w:val="1"/>
            <w:w w:val="120"/>
            <w:sz w:val="19"/>
          </w:rPr>
          <w:t>www.litvinenkoinquiry.org/files/INQ019146x.pdf</w:t>
        </w:r>
      </w:hyperlink>
      <w:r>
        <w:rPr>
          <w:w w:val="120"/>
          <w:sz w:val="19"/>
        </w:rPr>
        <w:t> </w:t>
      </w:r>
      <w:r>
        <w:rPr>
          <w:w w:val="115"/>
          <w:sz w:val="19"/>
        </w:rPr>
        <w:t>[Accessed</w:t>
      </w:r>
      <w:r>
        <w:rPr>
          <w:spacing w:val="-37"/>
          <w:w w:val="115"/>
          <w:sz w:val="19"/>
        </w:rPr>
        <w:t> </w:t>
      </w:r>
      <w:r>
        <w:rPr>
          <w:w w:val="115"/>
          <w:sz w:val="19"/>
        </w:rPr>
        <w:t>16</w:t>
      </w:r>
      <w:r>
        <w:rPr>
          <w:spacing w:val="-37"/>
          <w:w w:val="115"/>
          <w:sz w:val="19"/>
        </w:rPr>
        <w:t> </w:t>
      </w:r>
      <w:r>
        <w:rPr>
          <w:w w:val="115"/>
          <w:sz w:val="19"/>
        </w:rPr>
        <w:t>July</w:t>
      </w:r>
      <w:r>
        <w:rPr>
          <w:spacing w:val="-38"/>
          <w:w w:val="115"/>
          <w:sz w:val="19"/>
        </w:rPr>
        <w:t> </w:t>
      </w:r>
      <w:r>
        <w:rPr>
          <w:w w:val="115"/>
          <w:sz w:val="19"/>
        </w:rPr>
        <w:t>2016].</w:t>
      </w:r>
    </w:p>
    <w:p>
      <w:pPr>
        <w:spacing w:after="0" w:line="266" w:lineRule="auto"/>
        <w:jc w:val="both"/>
        <w:rPr>
          <w:sz w:val="19"/>
        </w:rPr>
        <w:sectPr>
          <w:pgSz w:w="12240" w:h="15840"/>
          <w:pgMar w:header="0" w:footer="712" w:top="1500" w:bottom="900" w:left="1700" w:right="1680"/>
        </w:sectPr>
      </w:pPr>
    </w:p>
    <w:p>
      <w:pPr>
        <w:spacing w:line="429" w:lineRule="auto" w:before="0"/>
        <w:ind w:left="628" w:right="618" w:firstLine="0"/>
        <w:jc w:val="both"/>
        <w:rPr>
          <w:rFonts w:ascii="Palatino Linotype"/>
          <w:i/>
          <w:sz w:val="24"/>
        </w:rPr>
      </w:pPr>
      <w:r>
        <w:rPr>
          <w:rFonts w:ascii="Palatino Linotype"/>
          <w:i/>
          <w:sz w:val="24"/>
        </w:rPr>
        <w:t>substantial revelations about his routine of working relations with the </w:t>
      </w:r>
      <w:r>
        <w:rPr>
          <w:rFonts w:ascii="Palatino Linotype"/>
          <w:i/>
          <w:sz w:val="24"/>
        </w:rPr>
        <w:t>intelligence agencies since the start of his first Presidential term. The usual assumption is that he keeps a close eye on their activities and gives them strategic guidance. But the exact extent of his oversight of active operations is veiled in secrecy. It is one of those matters that no one has yet managed to uncover."</w:t>
      </w:r>
    </w:p>
    <w:p>
      <w:pPr>
        <w:pStyle w:val="BodyText"/>
        <w:rPr>
          <w:rFonts w:ascii="Palatino Linotype"/>
          <w:i/>
        </w:rPr>
      </w:pPr>
    </w:p>
    <w:p>
      <w:pPr>
        <w:pStyle w:val="BodyText"/>
        <w:rPr>
          <w:rFonts w:ascii="Palatino Linotype"/>
          <w:i/>
        </w:rPr>
      </w:pPr>
    </w:p>
    <w:p>
      <w:pPr>
        <w:pStyle w:val="BodyText"/>
        <w:spacing w:before="9"/>
        <w:rPr>
          <w:rFonts w:ascii="Palatino Linotype"/>
          <w:i/>
          <w:sz w:val="20"/>
        </w:rPr>
      </w:pPr>
    </w:p>
    <w:p>
      <w:pPr>
        <w:pStyle w:val="BodyText"/>
        <w:spacing w:line="504" w:lineRule="auto"/>
        <w:ind w:left="119" w:right="108"/>
        <w:jc w:val="both"/>
      </w:pPr>
      <w:r>
        <w:rPr>
          <w:w w:val="110"/>
        </w:rPr>
        <w:t>The picture that emerges from all of the foregoing is an intertwined network of State involvement through the MofS and the FSB in the operations of both the Moscow and Sochi Laboratories. The FSB was woven into the fabric of the Laboratory operations and the MofS was directing the operational results of the Laboratories.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7"/>
        </w:rPr>
      </w:pPr>
      <w:r>
        <w:rPr/>
        <w:drawing>
          <wp:anchor distT="0" distB="0" distL="0" distR="0" allowOverlap="1" layoutInCell="1" locked="0" behindDoc="0" simplePos="0" relativeHeight="1648">
            <wp:simplePos x="0" y="0"/>
            <wp:positionH relativeFrom="page">
              <wp:posOffset>6483096</wp:posOffset>
            </wp:positionH>
            <wp:positionV relativeFrom="paragraph">
              <wp:posOffset>154072</wp:posOffset>
            </wp:positionV>
            <wp:extent cx="147292" cy="104775"/>
            <wp:effectExtent l="0" t="0" r="0" b="0"/>
            <wp:wrapTopAndBottom/>
            <wp:docPr id="33" name="image88.png" descr=""/>
            <wp:cNvGraphicFramePr>
              <a:graphicFrameLocks noChangeAspect="1"/>
            </wp:cNvGraphicFramePr>
            <a:graphic>
              <a:graphicData uri="http://schemas.openxmlformats.org/drawingml/2006/picture">
                <pic:pic>
                  <pic:nvPicPr>
                    <pic:cNvPr id="34" name="image88.png"/>
                    <pic:cNvPicPr/>
                  </pic:nvPicPr>
                  <pic:blipFill>
                    <a:blip r:embed="rId119" cstate="print"/>
                    <a:stretch>
                      <a:fillRect/>
                    </a:stretch>
                  </pic:blipFill>
                  <pic:spPr>
                    <a:xfrm>
                      <a:off x="0" y="0"/>
                      <a:ext cx="147292" cy="104775"/>
                    </a:xfrm>
                    <a:prstGeom prst="rect">
                      <a:avLst/>
                    </a:prstGeom>
                  </pic:spPr>
                </pic:pic>
              </a:graphicData>
            </a:graphic>
          </wp:anchor>
        </w:drawing>
      </w:r>
    </w:p>
    <w:p>
      <w:pPr>
        <w:spacing w:after="0"/>
        <w:rPr>
          <w:sz w:val="17"/>
        </w:rPr>
        <w:sectPr>
          <w:footerReference w:type="default" r:id="rId118"/>
          <w:pgSz w:w="12240" w:h="15840"/>
          <w:pgMar w:footer="0" w:header="0" w:top="1440" w:bottom="280" w:left="1700" w:right="1680"/>
        </w:sectPr>
      </w:pPr>
    </w:p>
    <w:p>
      <w:pPr>
        <w:pStyle w:val="BodyText"/>
        <w:rPr>
          <w:sz w:val="20"/>
        </w:rPr>
      </w:pPr>
    </w:p>
    <w:p>
      <w:pPr>
        <w:pStyle w:val="BodyText"/>
        <w:rPr>
          <w:sz w:val="20"/>
        </w:rPr>
      </w:pPr>
    </w:p>
    <w:p>
      <w:pPr>
        <w:pStyle w:val="BodyText"/>
        <w:rPr>
          <w:sz w:val="20"/>
        </w:rPr>
      </w:pPr>
    </w:p>
    <w:p>
      <w:pPr>
        <w:pStyle w:val="Heading1"/>
        <w:spacing w:before="156"/>
      </w:pPr>
      <w:bookmarkStart w:name="_TOC_250002" w:id="6"/>
      <w:bookmarkEnd w:id="6"/>
      <w:r>
        <w:rPr>
          <w:w w:val="105"/>
        </w:rPr>
        <w:t>Chapter 5: The Sochi Laboratory Sample Swapping Methodology</w:t>
      </w:r>
    </w:p>
    <w:p>
      <w:pPr>
        <w:pStyle w:val="BodyText"/>
        <w:spacing w:before="3"/>
        <w:rPr>
          <w:rFonts w:ascii="Palatino Linotype"/>
          <w:sz w:val="40"/>
        </w:rPr>
      </w:pPr>
    </w:p>
    <w:p>
      <w:pPr>
        <w:pStyle w:val="BodyText"/>
        <w:ind w:left="119"/>
        <w:jc w:val="both"/>
        <w:rPr>
          <w:rFonts w:ascii="Palatino Linotype"/>
        </w:rPr>
      </w:pPr>
      <w:r>
        <w:rPr>
          <w:rFonts w:ascii="Palatino Linotype"/>
        </w:rPr>
        <w:t>5.1 Introduction</w:t>
      </w:r>
    </w:p>
    <w:p>
      <w:pPr>
        <w:pStyle w:val="BodyText"/>
        <w:rPr>
          <w:rFonts w:ascii="Palatino Linotype"/>
        </w:rPr>
      </w:pPr>
    </w:p>
    <w:p>
      <w:pPr>
        <w:pStyle w:val="BodyText"/>
        <w:spacing w:before="6"/>
        <w:rPr>
          <w:rFonts w:ascii="Palatino Linotype"/>
          <w:sz w:val="18"/>
        </w:rPr>
      </w:pPr>
    </w:p>
    <w:p>
      <w:pPr>
        <w:pStyle w:val="BodyText"/>
        <w:spacing w:line="499" w:lineRule="auto"/>
        <w:ind w:left="119" w:right="107"/>
        <w:jc w:val="both"/>
      </w:pPr>
      <w:r>
        <w:rPr>
          <w:w w:val="110"/>
        </w:rPr>
        <w:t>The State control of and interference in the doping control process at the Moscow Laboratory was not an option at the Sochi Laboratory. Given the presence of international personnel from around the world, it was impossible to manipulate the results of the initial analytical work using the Disappearing Positive Methodology of the Moscow Laboratory. Therefore, a new process had to be developed to ensure that doped Russian athletes could continue to participate in the Sochi Games without their dirty samples being detected by the international personnel present in the Laboratory. A completely new system was designed. It was  </w:t>
      </w:r>
      <w:r>
        <w:rPr>
          <w:rFonts w:ascii="Palatino Linotype"/>
          <w:w w:val="110"/>
          <w:u w:val="single"/>
        </w:rPr>
        <w:t>unique  </w:t>
      </w:r>
      <w:r>
        <w:rPr>
          <w:w w:val="110"/>
        </w:rPr>
        <w:t>to  Sochi  and  does  not  depend  upon  the  Disappearing  Positive</w:t>
      </w:r>
    </w:p>
    <w:p>
      <w:pPr>
        <w:pStyle w:val="BodyText"/>
        <w:spacing w:line="211" w:lineRule="exact"/>
        <w:ind w:left="119"/>
        <w:jc w:val="both"/>
      </w:pPr>
      <w:r>
        <w:rPr>
          <w:w w:val="110"/>
        </w:rPr>
        <w:t>Methodology in use at the Moscow Laboratory.</w:t>
      </w:r>
    </w:p>
    <w:p>
      <w:pPr>
        <w:pStyle w:val="BodyText"/>
      </w:pPr>
    </w:p>
    <w:p>
      <w:pPr>
        <w:pStyle w:val="BodyText"/>
      </w:pPr>
    </w:p>
    <w:p>
      <w:pPr>
        <w:pStyle w:val="BodyText"/>
        <w:spacing w:before="2"/>
        <w:rPr>
          <w:sz w:val="26"/>
        </w:rPr>
      </w:pPr>
    </w:p>
    <w:p>
      <w:pPr>
        <w:pStyle w:val="BodyText"/>
        <w:spacing w:line="439" w:lineRule="auto"/>
        <w:ind w:left="119" w:right="100"/>
        <w:jc w:val="both"/>
      </w:pPr>
      <w:r>
        <w:rPr>
          <w:w w:val="110"/>
        </w:rPr>
        <w:t>The IP has strong evidence that verifies and corroborates a substantial part of </w:t>
      </w:r>
      <w:r>
        <w:rPr>
          <w:rFonts w:ascii="Palatino Linotype"/>
          <w:i/>
          <w:w w:val="110"/>
        </w:rPr>
        <w:t>The </w:t>
      </w:r>
      <w:r>
        <w:rPr>
          <w:rFonts w:ascii="Palatino Linotype"/>
          <w:i/>
          <w:w w:val="110"/>
        </w:rPr>
        <w:t>New York Times </w:t>
      </w:r>
      <w:r>
        <w:rPr>
          <w:w w:val="110"/>
        </w:rPr>
        <w:t>article which exposed the Sochi system. The IP has in its possession the reports from experiments it conducted, forensic work,   laboratory</w:t>
      </w:r>
    </w:p>
    <w:p>
      <w:pPr>
        <w:pStyle w:val="BodyText"/>
        <w:spacing w:line="448" w:lineRule="auto" w:before="56"/>
        <w:ind w:left="119" w:right="101"/>
        <w:jc w:val="both"/>
      </w:pPr>
      <w:r>
        <w:rPr>
          <w:w w:val="115"/>
        </w:rPr>
        <w:t>sample</w:t>
      </w:r>
      <w:r>
        <w:rPr>
          <w:spacing w:val="-27"/>
          <w:w w:val="115"/>
        </w:rPr>
        <w:t> </w:t>
      </w:r>
      <w:r>
        <w:rPr>
          <w:w w:val="115"/>
        </w:rPr>
        <w:t>analysis,</w:t>
      </w:r>
      <w:r>
        <w:rPr>
          <w:spacing w:val="-27"/>
          <w:w w:val="115"/>
        </w:rPr>
        <w:t> </w:t>
      </w:r>
      <w:r>
        <w:rPr>
          <w:w w:val="115"/>
        </w:rPr>
        <w:t>documentary</w:t>
      </w:r>
      <w:r>
        <w:rPr>
          <w:spacing w:val="-27"/>
          <w:w w:val="115"/>
        </w:rPr>
        <w:t> </w:t>
      </w:r>
      <w:r>
        <w:rPr>
          <w:w w:val="115"/>
        </w:rPr>
        <w:t>and</w:t>
      </w:r>
      <w:r>
        <w:rPr>
          <w:spacing w:val="-26"/>
          <w:w w:val="115"/>
        </w:rPr>
        <w:t> </w:t>
      </w:r>
      <w:r>
        <w:rPr>
          <w:rFonts w:ascii="Palatino Linotype"/>
          <w:i/>
          <w:w w:val="115"/>
        </w:rPr>
        <w:t>viva</w:t>
      </w:r>
      <w:r>
        <w:rPr>
          <w:rFonts w:ascii="Palatino Linotype"/>
          <w:i/>
          <w:spacing w:val="-29"/>
          <w:w w:val="115"/>
        </w:rPr>
        <w:t> </w:t>
      </w:r>
      <w:r>
        <w:rPr>
          <w:rFonts w:ascii="Palatino Linotype"/>
          <w:i/>
          <w:w w:val="115"/>
        </w:rPr>
        <w:t>voce</w:t>
      </w:r>
      <w:r>
        <w:rPr>
          <w:rFonts w:ascii="Palatino Linotype"/>
          <w:i/>
          <w:spacing w:val="-26"/>
          <w:w w:val="115"/>
        </w:rPr>
        <w:t> </w:t>
      </w:r>
      <w:r>
        <w:rPr>
          <w:w w:val="115"/>
        </w:rPr>
        <w:t>interview</w:t>
      </w:r>
      <w:r>
        <w:rPr>
          <w:spacing w:val="-27"/>
          <w:w w:val="115"/>
        </w:rPr>
        <w:t> </w:t>
      </w:r>
      <w:r>
        <w:rPr>
          <w:w w:val="115"/>
        </w:rPr>
        <w:t>evidence,</w:t>
      </w:r>
      <w:r>
        <w:rPr>
          <w:spacing w:val="-27"/>
          <w:w w:val="115"/>
        </w:rPr>
        <w:t> </w:t>
      </w:r>
      <w:r>
        <w:rPr>
          <w:w w:val="115"/>
        </w:rPr>
        <w:t>which</w:t>
      </w:r>
      <w:r>
        <w:rPr>
          <w:spacing w:val="-27"/>
          <w:w w:val="115"/>
        </w:rPr>
        <w:t> </w:t>
      </w:r>
      <w:r>
        <w:rPr>
          <w:w w:val="115"/>
        </w:rPr>
        <w:t>supports the</w:t>
      </w:r>
      <w:r>
        <w:rPr>
          <w:spacing w:val="-41"/>
          <w:w w:val="115"/>
        </w:rPr>
        <w:t> </w:t>
      </w:r>
      <w:r>
        <w:rPr>
          <w:w w:val="115"/>
        </w:rPr>
        <w:t>existence</w:t>
      </w:r>
      <w:r>
        <w:rPr>
          <w:spacing w:val="-41"/>
          <w:w w:val="115"/>
        </w:rPr>
        <w:t> </w:t>
      </w:r>
      <w:r>
        <w:rPr>
          <w:w w:val="115"/>
        </w:rPr>
        <w:t>of</w:t>
      </w:r>
      <w:r>
        <w:rPr>
          <w:spacing w:val="-40"/>
          <w:w w:val="115"/>
        </w:rPr>
        <w:t> </w:t>
      </w:r>
      <w:r>
        <w:rPr>
          <w:w w:val="115"/>
        </w:rPr>
        <w:t>the</w:t>
      </w:r>
      <w:r>
        <w:rPr>
          <w:spacing w:val="-41"/>
          <w:w w:val="115"/>
        </w:rPr>
        <w:t> </w:t>
      </w:r>
      <w:r>
        <w:rPr>
          <w:w w:val="115"/>
        </w:rPr>
        <w:t>sample</w:t>
      </w:r>
      <w:r>
        <w:rPr>
          <w:spacing w:val="-41"/>
          <w:w w:val="115"/>
        </w:rPr>
        <w:t> </w:t>
      </w:r>
      <w:r>
        <w:rPr>
          <w:w w:val="115"/>
        </w:rPr>
        <w:t>swapping</w:t>
      </w:r>
      <w:r>
        <w:rPr>
          <w:spacing w:val="-41"/>
          <w:w w:val="115"/>
        </w:rPr>
        <w:t> </w:t>
      </w:r>
      <w:r>
        <w:rPr>
          <w:w w:val="115"/>
        </w:rPr>
        <w:t>methodology</w:t>
      </w:r>
      <w:r>
        <w:rPr>
          <w:spacing w:val="-40"/>
          <w:w w:val="115"/>
        </w:rPr>
        <w:t> </w:t>
      </w:r>
      <w:r>
        <w:rPr>
          <w:w w:val="115"/>
        </w:rPr>
        <w:t>at</w:t>
      </w:r>
      <w:r>
        <w:rPr>
          <w:spacing w:val="-41"/>
          <w:w w:val="115"/>
        </w:rPr>
        <w:t> </w:t>
      </w:r>
      <w:r>
        <w:rPr>
          <w:w w:val="115"/>
        </w:rPr>
        <w:t>Sochi.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4"/>
        </w:rPr>
      </w:pPr>
      <w:r>
        <w:rPr/>
        <w:pict>
          <v:group style="position:absolute;margin-left:510.480011pt;margin-top:10.208673pt;width:11.65pt;height:8.3pt;mso-position-horizontal-relative:page;mso-position-vertical-relative:paragraph;z-index:1672;mso-wrap-distance-left:0;mso-wrap-distance-right:0" coordorigin="10210,204" coordsize="233,166">
            <v:shape style="position:absolute;left:10210;top:204;width:106;height:166" type="#_x0000_t75" stroked="false">
              <v:imagedata r:id="rId121" o:title=""/>
            </v:shape>
            <v:shape style="position:absolute;left:10346;top:204;width:96;height:164" coordorigin="10346,204" coordsize="96,164" path="m10442,358l10354,358,10354,367,10442,367,10442,358xm10423,355l10373,355,10370,358,10428,358,10423,355xm10409,233l10385,233,10387,235,10387,348,10380,355,10418,355,10416,353,10414,353,10414,351,10411,351,10411,346,10409,343,10409,233xm10411,204l10404,204,10346,238,10354,247,10358,243,10366,238,10375,233,10409,233,10409,211,10411,204xe" filled="true" fillcolor="#000000" stroked="false">
              <v:path arrowok="t"/>
              <v:fill type="solid"/>
            </v:shape>
            <w10:wrap type="topAndBottom"/>
          </v:group>
        </w:pict>
      </w:r>
    </w:p>
    <w:p>
      <w:pPr>
        <w:spacing w:after="0"/>
        <w:rPr>
          <w:sz w:val="14"/>
        </w:rPr>
        <w:sectPr>
          <w:footerReference w:type="default" r:id="rId120"/>
          <w:pgSz w:w="12240" w:h="15840"/>
          <w:pgMar w:footer="0" w:header="0" w:top="1500" w:bottom="280" w:left="1700" w:right="1680"/>
        </w:sectPr>
      </w:pPr>
    </w:p>
    <w:p>
      <w:pPr>
        <w:pStyle w:val="BodyText"/>
        <w:spacing w:line="504" w:lineRule="auto" w:before="16"/>
        <w:ind w:left="119" w:right="106"/>
        <w:jc w:val="both"/>
      </w:pPr>
      <w:r>
        <w:rPr>
          <w:w w:val="110"/>
        </w:rPr>
        <w:t>The scheme that was used in the Sochi Laboratory involved opening Russian athletes' sample bottles and swapping out dirty urine with clean urine. The clandestine swapping process would be carried out throughout the night when there were normally no international personnel present. By the morning clean urine samples from the night's activity would be waiting in the aliquoting room ready to be analyzed by the laboratory's day shift personnel where they would result in negative findings.</w:t>
      </w:r>
    </w:p>
    <w:p>
      <w:pPr>
        <w:pStyle w:val="BodyText"/>
      </w:pPr>
    </w:p>
    <w:p>
      <w:pPr>
        <w:pStyle w:val="BodyText"/>
        <w:spacing w:before="2"/>
        <w:rPr>
          <w:sz w:val="27"/>
        </w:rPr>
      </w:pPr>
    </w:p>
    <w:p>
      <w:pPr>
        <w:pStyle w:val="BodyText"/>
        <w:spacing w:line="504" w:lineRule="auto"/>
        <w:ind w:left="119" w:right="107"/>
        <w:jc w:val="both"/>
      </w:pPr>
      <w:r>
        <w:rPr>
          <w:w w:val="110"/>
        </w:rPr>
        <w:t>Specific athletes were identified and placed on a State Programme list for protection of samples given during the Sochi Games. Athletes on this list would have the urine in their Sochi samples replaced with any clean urine supplied by them in advance of the Sochi Games which was stored in the freezer of the FSB building near the Sochi Laboratory. So long as the swap occurred, the athlete would be protected from a positive test for any PEDs they were taking.</w:t>
      </w:r>
    </w:p>
    <w:p>
      <w:pPr>
        <w:pStyle w:val="BodyText"/>
      </w:pPr>
    </w:p>
    <w:p>
      <w:pPr>
        <w:pStyle w:val="BodyText"/>
        <w:spacing w:before="2"/>
        <w:rPr>
          <w:sz w:val="27"/>
        </w:rPr>
      </w:pPr>
    </w:p>
    <w:p>
      <w:pPr>
        <w:pStyle w:val="BodyText"/>
        <w:spacing w:line="504" w:lineRule="auto"/>
        <w:ind w:left="119" w:right="109"/>
        <w:jc w:val="both"/>
      </w:pPr>
      <w:r>
        <w:rPr>
          <w:w w:val="110"/>
        </w:rPr>
        <w:t>The Report has already referred to the doping program using the athlete cocktail developed by Dr. Rodchenkov. According to Dr. Rodchenkov athletes were competing "dirty" at Sochi using this cocktail.</w:t>
      </w:r>
    </w:p>
    <w:p>
      <w:pPr>
        <w:pStyle w:val="BodyText"/>
      </w:pPr>
    </w:p>
    <w:p>
      <w:pPr>
        <w:pStyle w:val="BodyText"/>
      </w:pPr>
    </w:p>
    <w:p>
      <w:pPr>
        <w:pStyle w:val="ListParagraph"/>
        <w:numPr>
          <w:ilvl w:val="1"/>
          <w:numId w:val="20"/>
        </w:numPr>
        <w:tabs>
          <w:tab w:pos="478" w:val="left" w:leader="none"/>
        </w:tabs>
        <w:spacing w:line="240" w:lineRule="auto" w:before="151" w:after="0"/>
        <w:ind w:left="477" w:right="0" w:hanging="358"/>
        <w:jc w:val="both"/>
        <w:rPr>
          <w:rFonts w:ascii="Georgia"/>
          <w:sz w:val="24"/>
        </w:rPr>
      </w:pPr>
      <w:r>
        <w:rPr>
          <w:rFonts w:ascii="Georgia"/>
          <w:w w:val="105"/>
          <w:sz w:val="24"/>
        </w:rPr>
        <w:t>Planning for</w:t>
      </w:r>
      <w:r>
        <w:rPr>
          <w:rFonts w:ascii="Georgia"/>
          <w:spacing w:val="-18"/>
          <w:w w:val="105"/>
          <w:sz w:val="24"/>
        </w:rPr>
        <w:t> </w:t>
      </w:r>
      <w:r>
        <w:rPr>
          <w:rFonts w:ascii="Georgia"/>
          <w:w w:val="105"/>
          <w:sz w:val="24"/>
        </w:rPr>
        <w:t>Sochi</w:t>
      </w:r>
    </w:p>
    <w:p>
      <w:pPr>
        <w:pStyle w:val="BodyText"/>
        <w:rPr>
          <w:rFonts w:ascii="Georgia"/>
        </w:rPr>
      </w:pPr>
    </w:p>
    <w:p>
      <w:pPr>
        <w:pStyle w:val="BodyText"/>
        <w:spacing w:before="1"/>
        <w:rPr>
          <w:rFonts w:ascii="Georgia"/>
          <w:sz w:val="28"/>
        </w:rPr>
      </w:pPr>
    </w:p>
    <w:p>
      <w:pPr>
        <w:pStyle w:val="BodyText"/>
        <w:spacing w:line="504" w:lineRule="auto"/>
        <w:ind w:left="119" w:right="109"/>
        <w:jc w:val="both"/>
      </w:pPr>
      <w:r>
        <w:rPr>
          <w:w w:val="115"/>
        </w:rPr>
        <w:t>The preparation for Sochi began years in advance, when the IOC in 2007 awarded Russia the Sochi Games.  However, the real catalyst to develop  </w:t>
      </w:r>
      <w:r>
        <w:rPr>
          <w:spacing w:val="52"/>
          <w:w w:val="115"/>
        </w:rPr>
        <w:t> </w:t>
      </w:r>
      <w:r>
        <w:rPr>
          <w:w w:val="115"/>
        </w:rPr>
        <w:t>the</w:t>
      </w:r>
    </w:p>
    <w:p>
      <w:pPr>
        <w:spacing w:after="0" w:line="504" w:lineRule="auto"/>
        <w:jc w:val="both"/>
        <w:sectPr>
          <w:footerReference w:type="default" r:id="rId122"/>
          <w:pgSz w:w="12240" w:h="15840"/>
          <w:pgMar w:footer="707" w:header="0" w:top="1440" w:bottom="900" w:left="1700" w:right="1680"/>
        </w:sectPr>
      </w:pPr>
    </w:p>
    <w:p>
      <w:pPr>
        <w:pStyle w:val="BodyText"/>
        <w:spacing w:line="504" w:lineRule="auto" w:before="16"/>
        <w:ind w:left="119" w:right="105"/>
        <w:jc w:val="both"/>
      </w:pPr>
      <w:r>
        <w:rPr>
          <w:w w:val="110"/>
        </w:rPr>
        <w:t>Sochi scheme was the abysmal performance of the Russian delegation at the Vancouver Winter Games in 2010. According to Dr. Rodchenkov, it was decided that this could not happen at Sochi and the plan to ensure lots of medal winners was concocted by Minister Mutko, Deputy Minister Nagornykh and Deputy Director of the CSP, Irina Rodionova. The plan to protect dirty athletes was threefold: (i) develop a "undetectable" pharmacological progamme to administer to athletes identified to go on the programme, (ii) State control of all parts of the anti-doping program, and (iii) State support by means of FSB assistance. Deputy Minister Nagornykh held the chief responsibility of the execution of the Sochi plan. Although he directly reported to Minister Mutko, he was in charge of the Sochi plan and received assistance from Rodionova.</w:t>
      </w:r>
    </w:p>
    <w:p>
      <w:pPr>
        <w:pStyle w:val="BodyText"/>
      </w:pPr>
    </w:p>
    <w:p>
      <w:pPr>
        <w:pStyle w:val="BodyText"/>
        <w:rPr>
          <w:sz w:val="27"/>
        </w:rPr>
      </w:pPr>
    </w:p>
    <w:p>
      <w:pPr>
        <w:pStyle w:val="BodyText"/>
        <w:spacing w:line="504" w:lineRule="auto" w:before="1"/>
        <w:ind w:left="119" w:right="105"/>
        <w:jc w:val="both"/>
      </w:pPr>
      <w:r>
        <w:rPr>
          <w:w w:val="110"/>
        </w:rPr>
        <w:t>All State resources were used, including the FSB to assist in the execution of the plan. Early architectural drawings of the Sochi Laboratory show just how important the FSB were to the execution of the plan as they had their own dedicated rooms within the Laboratory building. Indeed it was the FSB who performed the critical role of opening the B sample bottles using what they thought was their undetectable method. The IP has evidence that the FSB had methodology to open sample bottles existed in the Moscow Laboratory as early as February 2013. Thus, while the Sochi bottles could be opened, the problem of actually getting them opened in a laboratory full of international observers and personnel</w:t>
      </w:r>
      <w:r>
        <w:rPr>
          <w:spacing w:val="35"/>
          <w:w w:val="110"/>
        </w:rPr>
        <w:t> </w:t>
      </w:r>
      <w:r>
        <w:rPr>
          <w:w w:val="110"/>
        </w:rPr>
        <w:t>remained.</w:t>
      </w:r>
    </w:p>
    <w:p>
      <w:pPr>
        <w:spacing w:after="0" w:line="504" w:lineRule="auto"/>
        <w:jc w:val="both"/>
        <w:sectPr>
          <w:pgSz w:w="12240" w:h="15840"/>
          <w:pgMar w:header="0" w:footer="707" w:top="1440" w:bottom="900" w:left="1700" w:right="1680"/>
        </w:sectPr>
      </w:pPr>
    </w:p>
    <w:p>
      <w:pPr>
        <w:pStyle w:val="BodyText"/>
        <w:rPr>
          <w:sz w:val="20"/>
        </w:rPr>
      </w:pPr>
    </w:p>
    <w:p>
      <w:pPr>
        <w:pStyle w:val="BodyText"/>
        <w:spacing w:before="6"/>
        <w:rPr>
          <w:sz w:val="23"/>
        </w:rPr>
      </w:pPr>
    </w:p>
    <w:p>
      <w:pPr>
        <w:pStyle w:val="BodyText"/>
        <w:spacing w:line="501" w:lineRule="auto" w:before="36"/>
        <w:ind w:left="119" w:right="107"/>
        <w:jc w:val="both"/>
      </w:pPr>
      <w:r>
        <w:rPr>
          <w:w w:val="110"/>
        </w:rPr>
        <w:t>The quaint solution of passing dirty samples through a mouse hole drilled between the aliquoting room in the secure area of the laboratory and the adjacent "operations" room on the exterior of the secure area was suggested by Dr. Rodchenkov's second in command, Yuri Chizov. This scheme was approved by Deputy Minister Nagornykh and Chizhov and FSB Blokhin travelled on their own to Sochi to arrange the drilling of the mouse hole. With the plan's linchpin</w:t>
      </w:r>
      <w:r>
        <w:rPr>
          <w:spacing w:val="66"/>
          <w:w w:val="110"/>
        </w:rPr>
        <w:t> </w:t>
      </w:r>
      <w:r>
        <w:rPr>
          <w:w w:val="110"/>
        </w:rPr>
        <w:t>in place, the hijacking of the Sochi Games could go on unobstructed by international observers and any</w:t>
      </w:r>
      <w:r>
        <w:rPr>
          <w:spacing w:val="17"/>
          <w:w w:val="110"/>
        </w:rPr>
        <w:t> </w:t>
      </w:r>
      <w:r>
        <w:rPr>
          <w:w w:val="110"/>
        </w:rPr>
        <w:t>interference.</w:t>
      </w:r>
    </w:p>
    <w:p>
      <w:pPr>
        <w:pStyle w:val="BodyText"/>
      </w:pPr>
    </w:p>
    <w:p>
      <w:pPr>
        <w:pStyle w:val="BodyText"/>
        <w:spacing w:before="4"/>
        <w:rPr>
          <w:sz w:val="25"/>
        </w:rPr>
      </w:pPr>
    </w:p>
    <w:p>
      <w:pPr>
        <w:pStyle w:val="BodyText"/>
        <w:spacing w:line="448" w:lineRule="auto"/>
        <w:ind w:left="119" w:right="104"/>
        <w:jc w:val="both"/>
      </w:pPr>
      <w:r>
        <w:rPr>
          <w:w w:val="110"/>
        </w:rPr>
        <w:t>It was reported by </w:t>
      </w:r>
      <w:r>
        <w:rPr>
          <w:rFonts w:ascii="Palatino Linotype"/>
          <w:i/>
          <w:w w:val="110"/>
        </w:rPr>
        <w:t>The New York Times </w:t>
      </w:r>
      <w:r>
        <w:rPr>
          <w:w w:val="110"/>
        </w:rPr>
        <w:t>that there was significance to the FSB building  being  based  next  to  the  anti-doping  laboratory  at  Sochi.   However</w:t>
      </w:r>
    </w:p>
    <w:p>
      <w:pPr>
        <w:pStyle w:val="BodyText"/>
        <w:spacing w:line="504" w:lineRule="auto" w:before="72"/>
        <w:ind w:left="119" w:right="105"/>
        <w:jc w:val="both"/>
        <w:rPr>
          <w:rFonts w:ascii="Georgia"/>
        </w:rPr>
      </w:pPr>
      <w:r>
        <w:rPr>
          <w:w w:val="110"/>
        </w:rPr>
        <w:t>examination of Dr. Rodchenkov's hard drive showed the presence of an FSB office within the anti-doping laboratory, on the fourth floor close to Dr. Rodchenkov's office. Witnesses confirm this office was used by FSB Blokhin</w:t>
      </w:r>
      <w:r>
        <w:rPr>
          <w:rFonts w:ascii="Georgia"/>
          <w:w w:val="110"/>
        </w:rPr>
        <w:t>.</w:t>
      </w:r>
    </w:p>
    <w:p>
      <w:pPr>
        <w:spacing w:after="0" w:line="504" w:lineRule="auto"/>
        <w:jc w:val="both"/>
        <w:rPr>
          <w:rFonts w:ascii="Georgia"/>
        </w:rPr>
        <w:sectPr>
          <w:pgSz w:w="12240" w:h="15840"/>
          <w:pgMar w:header="0" w:footer="707" w:top="1500" w:bottom="900" w:left="1700" w:right="1680"/>
        </w:sectPr>
      </w:pPr>
    </w:p>
    <w:p>
      <w:pPr>
        <w:pStyle w:val="BodyText"/>
        <w:ind w:left="116"/>
        <w:rPr>
          <w:rFonts w:ascii="Georgia"/>
          <w:sz w:val="20"/>
        </w:rPr>
      </w:pPr>
      <w:r>
        <w:rPr>
          <w:rFonts w:ascii="Georgia"/>
          <w:sz w:val="20"/>
        </w:rPr>
        <w:pict>
          <v:group style="width:432.25pt;height:235.7pt;mso-position-horizontal-relative:char;mso-position-vertical-relative:line" coordorigin="0,0" coordsize="8645,4714">
            <v:shape style="position:absolute;left:0;top:0;width:3329;height:3371" type="#_x0000_t75" stroked="false">
              <v:imagedata r:id="rId123" o:title=""/>
            </v:shape>
            <v:shape style="position:absolute;left:3319;top:0;width:3334;height:3372" type="#_x0000_t75" stroked="false">
              <v:imagedata r:id="rId124" o:title=""/>
            </v:shape>
            <v:shape style="position:absolute;left:6643;top:0;width:2002;height:4714" type="#_x0000_t75" stroked="false">
              <v:imagedata r:id="rId125" o:title=""/>
            </v:shape>
            <v:shape style="position:absolute;left:0;top:3362;width:6653;height:1351" type="#_x0000_t75" stroked="false">
              <v:imagedata r:id="rId126" o:title=""/>
            </v:shape>
          </v:group>
        </w:pict>
      </w:r>
      <w:r>
        <w:rPr>
          <w:rFonts w:ascii="Georgia"/>
          <w:sz w:val="20"/>
        </w:rPr>
      </w:r>
    </w:p>
    <w:p>
      <w:pPr>
        <w:pStyle w:val="BodyText"/>
        <w:spacing w:before="8"/>
        <w:rPr>
          <w:rFonts w:ascii="Georgia"/>
          <w:sz w:val="21"/>
        </w:rPr>
      </w:pPr>
    </w:p>
    <w:p>
      <w:pPr>
        <w:pStyle w:val="BodyText"/>
        <w:spacing w:before="36"/>
        <w:ind w:left="119"/>
        <w:jc w:val="both"/>
      </w:pPr>
      <w:r>
        <w:rPr>
          <w:w w:val="115"/>
        </w:rPr>
        <w:t>Numbers 1-6 were added to this floor plan by the IP.</w:t>
      </w:r>
    </w:p>
    <w:p>
      <w:pPr>
        <w:pStyle w:val="BodyText"/>
      </w:pPr>
    </w:p>
    <w:p>
      <w:pPr>
        <w:pStyle w:val="BodyText"/>
        <w:spacing w:before="11"/>
        <w:rPr>
          <w:sz w:val="19"/>
        </w:rPr>
      </w:pPr>
    </w:p>
    <w:p>
      <w:pPr>
        <w:pStyle w:val="ListParagraph"/>
        <w:numPr>
          <w:ilvl w:val="2"/>
          <w:numId w:val="20"/>
        </w:numPr>
        <w:tabs>
          <w:tab w:pos="659" w:val="left" w:leader="none"/>
        </w:tabs>
        <w:spacing w:line="240" w:lineRule="auto" w:before="0" w:after="0"/>
        <w:ind w:left="658" w:right="0" w:hanging="539"/>
        <w:jc w:val="both"/>
        <w:rPr>
          <w:rFonts w:ascii="Georgia"/>
          <w:sz w:val="24"/>
        </w:rPr>
      </w:pPr>
      <w:r>
        <w:rPr>
          <w:rFonts w:ascii="Georgia"/>
          <w:sz w:val="24"/>
        </w:rPr>
        <w:t>IP</w:t>
      </w:r>
      <w:r>
        <w:rPr>
          <w:rFonts w:ascii="Georgia"/>
          <w:spacing w:val="34"/>
          <w:sz w:val="24"/>
        </w:rPr>
        <w:t> </w:t>
      </w:r>
      <w:r>
        <w:rPr>
          <w:rFonts w:ascii="Georgia"/>
          <w:sz w:val="24"/>
        </w:rPr>
        <w:t>Findings</w:t>
      </w:r>
    </w:p>
    <w:p>
      <w:pPr>
        <w:pStyle w:val="BodyText"/>
        <w:rPr>
          <w:rFonts w:ascii="Georgia"/>
        </w:rPr>
      </w:pPr>
    </w:p>
    <w:p>
      <w:pPr>
        <w:pStyle w:val="BodyText"/>
        <w:rPr>
          <w:rFonts w:ascii="Georgia"/>
        </w:rPr>
      </w:pPr>
    </w:p>
    <w:p>
      <w:pPr>
        <w:pStyle w:val="ListParagraph"/>
        <w:numPr>
          <w:ilvl w:val="3"/>
          <w:numId w:val="20"/>
        </w:numPr>
        <w:tabs>
          <w:tab w:pos="840" w:val="left" w:leader="none"/>
        </w:tabs>
        <w:spacing w:line="501" w:lineRule="auto" w:before="190" w:after="0"/>
        <w:ind w:left="839" w:right="129" w:hanging="360"/>
        <w:jc w:val="left"/>
        <w:rPr>
          <w:sz w:val="24"/>
        </w:rPr>
      </w:pPr>
      <w:r>
        <w:rPr>
          <w:w w:val="110"/>
          <w:sz w:val="24"/>
        </w:rPr>
        <w:t>The planning for the unique Sochi Laboratory sample swapping involved the</w:t>
      </w:r>
      <w:r>
        <w:rPr>
          <w:spacing w:val="-20"/>
          <w:w w:val="110"/>
          <w:sz w:val="24"/>
        </w:rPr>
        <w:t> </w:t>
      </w:r>
      <w:r>
        <w:rPr>
          <w:w w:val="110"/>
          <w:sz w:val="24"/>
        </w:rPr>
        <w:t>Ministry</w:t>
      </w:r>
      <w:r>
        <w:rPr>
          <w:spacing w:val="-17"/>
          <w:w w:val="110"/>
          <w:sz w:val="24"/>
        </w:rPr>
        <w:t> </w:t>
      </w:r>
      <w:r>
        <w:rPr>
          <w:w w:val="110"/>
          <w:sz w:val="24"/>
        </w:rPr>
        <w:t>of</w:t>
      </w:r>
      <w:r>
        <w:rPr>
          <w:spacing w:val="-18"/>
          <w:w w:val="110"/>
          <w:sz w:val="24"/>
        </w:rPr>
        <w:t> </w:t>
      </w:r>
      <w:r>
        <w:rPr>
          <w:w w:val="110"/>
          <w:sz w:val="24"/>
        </w:rPr>
        <w:t>Sport,</w:t>
      </w:r>
      <w:r>
        <w:rPr>
          <w:spacing w:val="-18"/>
          <w:w w:val="110"/>
          <w:sz w:val="24"/>
        </w:rPr>
        <w:t> </w:t>
      </w:r>
      <w:r>
        <w:rPr>
          <w:w w:val="110"/>
          <w:sz w:val="24"/>
        </w:rPr>
        <w:t>FSB,</w:t>
      </w:r>
      <w:r>
        <w:rPr>
          <w:spacing w:val="-20"/>
          <w:w w:val="110"/>
          <w:sz w:val="24"/>
        </w:rPr>
        <w:t> </w:t>
      </w:r>
      <w:r>
        <w:rPr>
          <w:w w:val="110"/>
          <w:sz w:val="24"/>
        </w:rPr>
        <w:t>CSP,</w:t>
      </w:r>
      <w:r>
        <w:rPr>
          <w:spacing w:val="-20"/>
          <w:w w:val="110"/>
          <w:sz w:val="24"/>
        </w:rPr>
        <w:t> </w:t>
      </w:r>
      <w:r>
        <w:rPr>
          <w:w w:val="110"/>
          <w:sz w:val="24"/>
        </w:rPr>
        <w:t>and</w:t>
      </w:r>
      <w:r>
        <w:rPr>
          <w:spacing w:val="-20"/>
          <w:w w:val="110"/>
          <w:sz w:val="24"/>
        </w:rPr>
        <w:t> </w:t>
      </w:r>
      <w:r>
        <w:rPr>
          <w:w w:val="110"/>
          <w:sz w:val="24"/>
        </w:rPr>
        <w:t>the</w:t>
      </w:r>
      <w:r>
        <w:rPr>
          <w:spacing w:val="-20"/>
          <w:w w:val="110"/>
          <w:sz w:val="24"/>
        </w:rPr>
        <w:t> </w:t>
      </w:r>
      <w:r>
        <w:rPr>
          <w:w w:val="110"/>
          <w:sz w:val="24"/>
        </w:rPr>
        <w:t>Moscow</w:t>
      </w:r>
      <w:r>
        <w:rPr>
          <w:spacing w:val="-20"/>
          <w:w w:val="110"/>
          <w:sz w:val="24"/>
        </w:rPr>
        <w:t> </w:t>
      </w:r>
      <w:r>
        <w:rPr>
          <w:w w:val="110"/>
          <w:sz w:val="24"/>
        </w:rPr>
        <w:t>Laboratory.</w:t>
      </w:r>
    </w:p>
    <w:p>
      <w:pPr>
        <w:pStyle w:val="BodyText"/>
      </w:pPr>
    </w:p>
    <w:p>
      <w:pPr>
        <w:pStyle w:val="BodyText"/>
      </w:pPr>
    </w:p>
    <w:p>
      <w:pPr>
        <w:pStyle w:val="ListParagraph"/>
        <w:numPr>
          <w:ilvl w:val="2"/>
          <w:numId w:val="20"/>
        </w:numPr>
        <w:tabs>
          <w:tab w:pos="659" w:val="left" w:leader="none"/>
        </w:tabs>
        <w:spacing w:line="240" w:lineRule="auto" w:before="158" w:after="0"/>
        <w:ind w:left="658" w:right="0" w:hanging="539"/>
        <w:jc w:val="both"/>
        <w:rPr>
          <w:rFonts w:ascii="Georgia"/>
          <w:sz w:val="24"/>
        </w:rPr>
      </w:pPr>
      <w:r>
        <w:rPr>
          <w:rFonts w:ascii="Georgia"/>
          <w:sz w:val="24"/>
        </w:rPr>
        <w:t>The State</w:t>
      </w:r>
      <w:r>
        <w:rPr>
          <w:rFonts w:ascii="Georgia"/>
          <w:spacing w:val="31"/>
          <w:sz w:val="24"/>
        </w:rPr>
        <w:t> </w:t>
      </w:r>
      <w:r>
        <w:rPr>
          <w:rFonts w:ascii="Georgia"/>
          <w:sz w:val="24"/>
        </w:rPr>
        <w:t>Programme</w:t>
      </w:r>
    </w:p>
    <w:p>
      <w:pPr>
        <w:pStyle w:val="BodyText"/>
        <w:rPr>
          <w:rFonts w:ascii="Georgia"/>
        </w:rPr>
      </w:pPr>
    </w:p>
    <w:p>
      <w:pPr>
        <w:pStyle w:val="BodyText"/>
        <w:rPr>
          <w:rFonts w:ascii="Georgia"/>
        </w:rPr>
      </w:pPr>
    </w:p>
    <w:p>
      <w:pPr>
        <w:pStyle w:val="BodyText"/>
        <w:spacing w:line="501" w:lineRule="auto" w:before="190"/>
        <w:ind w:left="119" w:right="126"/>
        <w:jc w:val="both"/>
      </w:pPr>
      <w:r>
        <w:rPr>
          <w:w w:val="110"/>
        </w:rPr>
        <w:t>Dr. Rodchenkov provided to the IP an Excel spreadsheet with a list of 37 athletes of various winter sport disciplines competing at Sochi. He stated that these athletes were Olympic medal hopefuls and under the protection of the "State Programme,"  meaning that their  athletic preparation was under full control of</w:t>
      </w:r>
      <w:r>
        <w:rPr>
          <w:spacing w:val="66"/>
          <w:w w:val="110"/>
        </w:rPr>
        <w:t> </w:t>
      </w:r>
      <w:r>
        <w:rPr>
          <w:w w:val="110"/>
        </w:rPr>
        <w:t>the State. This control included providing athletes with PEDs through  the cocktail</w:t>
      </w:r>
      <w:r>
        <w:rPr>
          <w:spacing w:val="26"/>
          <w:w w:val="110"/>
        </w:rPr>
        <w:t> </w:t>
      </w:r>
      <w:r>
        <w:rPr>
          <w:w w:val="110"/>
        </w:rPr>
        <w:t>developed</w:t>
      </w:r>
      <w:r>
        <w:rPr>
          <w:spacing w:val="28"/>
          <w:w w:val="110"/>
        </w:rPr>
        <w:t> </w:t>
      </w:r>
      <w:r>
        <w:rPr>
          <w:w w:val="110"/>
        </w:rPr>
        <w:t>by</w:t>
      </w:r>
      <w:r>
        <w:rPr>
          <w:spacing w:val="26"/>
          <w:w w:val="110"/>
        </w:rPr>
        <w:t> </w:t>
      </w:r>
      <w:r>
        <w:rPr>
          <w:w w:val="110"/>
        </w:rPr>
        <w:t>Dr.</w:t>
      </w:r>
      <w:r>
        <w:rPr>
          <w:spacing w:val="26"/>
          <w:w w:val="110"/>
        </w:rPr>
        <w:t> </w:t>
      </w:r>
      <w:r>
        <w:rPr>
          <w:w w:val="110"/>
        </w:rPr>
        <w:t>Rodchenkov,</w:t>
      </w:r>
      <w:r>
        <w:rPr>
          <w:spacing w:val="26"/>
          <w:w w:val="110"/>
        </w:rPr>
        <w:t> </w:t>
      </w:r>
      <w:r>
        <w:rPr>
          <w:w w:val="110"/>
        </w:rPr>
        <w:t>concealment</w:t>
      </w:r>
      <w:r>
        <w:rPr>
          <w:spacing w:val="25"/>
          <w:w w:val="110"/>
        </w:rPr>
        <w:t> </w:t>
      </w:r>
      <w:r>
        <w:rPr>
          <w:w w:val="110"/>
        </w:rPr>
        <w:t>of</w:t>
      </w:r>
      <w:r>
        <w:rPr>
          <w:spacing w:val="30"/>
          <w:w w:val="110"/>
        </w:rPr>
        <w:t> </w:t>
      </w:r>
      <w:r>
        <w:rPr>
          <w:w w:val="110"/>
        </w:rPr>
        <w:t>any</w:t>
      </w:r>
      <w:r>
        <w:rPr>
          <w:spacing w:val="28"/>
          <w:w w:val="110"/>
        </w:rPr>
        <w:t> </w:t>
      </w:r>
      <w:r>
        <w:rPr>
          <w:w w:val="110"/>
        </w:rPr>
        <w:t>positive</w:t>
      </w:r>
      <w:r>
        <w:rPr>
          <w:spacing w:val="25"/>
          <w:w w:val="110"/>
        </w:rPr>
        <w:t> </w:t>
      </w:r>
      <w:r>
        <w:rPr>
          <w:w w:val="110"/>
        </w:rPr>
        <w:t>results</w:t>
      </w:r>
      <w:r>
        <w:rPr>
          <w:spacing w:val="28"/>
          <w:w w:val="110"/>
        </w:rPr>
        <w:t> </w:t>
      </w:r>
      <w:r>
        <w:rPr>
          <w:w w:val="110"/>
        </w:rPr>
        <w:t>by</w:t>
      </w:r>
    </w:p>
    <w:p>
      <w:pPr>
        <w:spacing w:after="0" w:line="501" w:lineRule="auto"/>
        <w:jc w:val="both"/>
        <w:sectPr>
          <w:pgSz w:w="12240" w:h="15840"/>
          <w:pgMar w:header="0" w:footer="707" w:top="1460" w:bottom="900" w:left="1700" w:right="1660"/>
        </w:sectPr>
      </w:pPr>
    </w:p>
    <w:p>
      <w:pPr>
        <w:pStyle w:val="BodyText"/>
        <w:spacing w:line="504" w:lineRule="auto" w:before="16"/>
        <w:ind w:left="119" w:right="107"/>
        <w:jc w:val="both"/>
      </w:pPr>
      <w:r>
        <w:rPr>
          <w:w w:val="110"/>
        </w:rPr>
        <w:t>the laboratory, and having a bank of previously provided clean  urine available</w:t>
      </w:r>
      <w:r>
        <w:rPr>
          <w:spacing w:val="66"/>
          <w:w w:val="110"/>
        </w:rPr>
        <w:t> </w:t>
      </w:r>
      <w:r>
        <w:rPr>
          <w:w w:val="110"/>
        </w:rPr>
        <w:t>for swapping. Rodionova had arranged for the clean urine to be collected and stored in the CSP offices before it was sent to the FSB in Sochi. Each athlete was also given instructions to provide a photograph or text to the CSP of the sample number of any doping control sample collected at</w:t>
      </w:r>
      <w:r>
        <w:rPr>
          <w:spacing w:val="-41"/>
          <w:w w:val="110"/>
        </w:rPr>
        <w:t> </w:t>
      </w:r>
      <w:r>
        <w:rPr>
          <w:w w:val="110"/>
        </w:rPr>
        <w:t>Sochi.</w:t>
      </w:r>
    </w:p>
    <w:p>
      <w:pPr>
        <w:pStyle w:val="BodyText"/>
      </w:pPr>
    </w:p>
    <w:p>
      <w:pPr>
        <w:pStyle w:val="BodyText"/>
        <w:spacing w:before="2"/>
        <w:rPr>
          <w:sz w:val="27"/>
        </w:rPr>
      </w:pPr>
    </w:p>
    <w:p>
      <w:pPr>
        <w:pStyle w:val="BodyText"/>
        <w:spacing w:line="504" w:lineRule="auto"/>
        <w:ind w:left="119" w:right="109"/>
        <w:jc w:val="both"/>
      </w:pPr>
      <w:r>
        <w:rPr>
          <w:w w:val="110"/>
        </w:rPr>
        <w:t>The IP investigation recovered the original Excel spreadsheet and conducted a forensic examination of the metadata. The data revealed that the schedule had been created in February 2014, contemporaneous to the Sochi Games and that the author was Alexey Velikodniy of the CSP. He was the Deputy to Rodionova.</w:t>
      </w:r>
      <w:r>
        <w:rPr>
          <w:spacing w:val="66"/>
          <w:w w:val="110"/>
        </w:rPr>
        <w:t> </w:t>
      </w:r>
      <w:r>
        <w:rPr>
          <w:w w:val="110"/>
        </w:rPr>
        <w:t>The original spreadsheet was titled "Duchess," which incidentally coincides with the nickname given to the steroid cocktail that the CSP was giving to the athletes (see Chapter</w:t>
      </w:r>
      <w:r>
        <w:rPr>
          <w:spacing w:val="-35"/>
          <w:w w:val="110"/>
        </w:rPr>
        <w:t> </w:t>
      </w:r>
      <w:r>
        <w:rPr>
          <w:w w:val="110"/>
        </w:rPr>
        <w:t>3).</w:t>
      </w:r>
    </w:p>
    <w:p>
      <w:pPr>
        <w:pStyle w:val="BodyText"/>
      </w:pPr>
    </w:p>
    <w:p>
      <w:pPr>
        <w:pStyle w:val="BodyText"/>
        <w:spacing w:before="2"/>
        <w:rPr>
          <w:sz w:val="27"/>
        </w:rPr>
      </w:pPr>
    </w:p>
    <w:p>
      <w:pPr>
        <w:pStyle w:val="BodyText"/>
        <w:spacing w:line="491" w:lineRule="auto"/>
        <w:ind w:left="119" w:right="98"/>
        <w:jc w:val="both"/>
        <w:rPr>
          <w:rFonts w:ascii="Palatino Linotype"/>
          <w:i/>
        </w:rPr>
      </w:pPr>
      <w:r>
        <w:rPr>
          <w:w w:val="110"/>
        </w:rPr>
        <w:t>There were other athletes, not included on the spreadsheet, who were also protected by the sample swapping schemes of the State Programme. These athletes  were  communicated to  Dr. Rodchenkov  to  be protected  on an  </w:t>
      </w:r>
      <w:r>
        <w:rPr>
          <w:rFonts w:ascii="Palatino Linotype"/>
          <w:i/>
          <w:w w:val="110"/>
        </w:rPr>
        <w:t>ad hoc</w:t>
      </w:r>
    </w:p>
    <w:p>
      <w:pPr>
        <w:pStyle w:val="BodyText"/>
        <w:spacing w:line="236" w:lineRule="exact"/>
        <w:ind w:left="119"/>
        <w:jc w:val="both"/>
      </w:pPr>
      <w:r>
        <w:rPr>
          <w:w w:val="110"/>
        </w:rPr>
        <w:t>basis throughout the Sochi Games. While the </w:t>
      </w:r>
      <w:r>
        <w:rPr>
          <w:rFonts w:ascii="Palatino Linotype"/>
          <w:i/>
          <w:w w:val="110"/>
        </w:rPr>
        <w:t>ad hoc </w:t>
      </w:r>
      <w:r>
        <w:rPr>
          <w:w w:val="110"/>
        </w:rPr>
        <w:t>athletes benefited from    the</w:t>
      </w:r>
    </w:p>
    <w:p>
      <w:pPr>
        <w:pStyle w:val="BodyText"/>
        <w:spacing w:before="8"/>
      </w:pPr>
    </w:p>
    <w:p>
      <w:pPr>
        <w:pStyle w:val="BodyText"/>
        <w:spacing w:line="504" w:lineRule="auto" w:before="1"/>
        <w:ind w:left="119" w:right="108"/>
        <w:jc w:val="both"/>
      </w:pPr>
      <w:r>
        <w:rPr>
          <w:w w:val="110"/>
        </w:rPr>
        <w:t>concealment of their positive samples at the laboratory level and provided clean urine to the Laboratory, this urine was not able to be pretested by Dr. Rodchenkov, like the urine of those athletes on the spreadsheet. There were no positive samples at the Sochi Games from any Russian athletes.</w:t>
      </w:r>
    </w:p>
    <w:p>
      <w:pPr>
        <w:spacing w:after="0" w:line="504" w:lineRule="auto"/>
        <w:jc w:val="both"/>
        <w:sectPr>
          <w:pgSz w:w="12240" w:h="15840"/>
          <w:pgMar w:header="0" w:footer="707" w:top="1440" w:bottom="900" w:left="1700" w:right="1680"/>
        </w:sectPr>
      </w:pPr>
    </w:p>
    <w:p>
      <w:pPr>
        <w:pStyle w:val="BodyText"/>
        <w:rPr>
          <w:sz w:val="20"/>
        </w:rPr>
      </w:pPr>
    </w:p>
    <w:p>
      <w:pPr>
        <w:pStyle w:val="BodyText"/>
        <w:rPr>
          <w:sz w:val="20"/>
        </w:rPr>
      </w:pPr>
    </w:p>
    <w:p>
      <w:pPr>
        <w:pStyle w:val="BodyText"/>
        <w:rPr>
          <w:sz w:val="21"/>
        </w:rPr>
      </w:pPr>
    </w:p>
    <w:p>
      <w:pPr>
        <w:pStyle w:val="ListParagraph"/>
        <w:numPr>
          <w:ilvl w:val="2"/>
          <w:numId w:val="21"/>
        </w:numPr>
        <w:tabs>
          <w:tab w:pos="658" w:val="left" w:leader="none"/>
        </w:tabs>
        <w:spacing w:line="240" w:lineRule="auto" w:before="9" w:after="0"/>
        <w:ind w:left="657" w:right="0" w:hanging="538"/>
        <w:jc w:val="both"/>
        <w:rPr>
          <w:rFonts w:ascii="Georgia"/>
          <w:i/>
          <w:sz w:val="24"/>
        </w:rPr>
      </w:pPr>
      <w:r>
        <w:rPr>
          <w:rFonts w:ascii="Palatino Linotype"/>
          <w:w w:val="105"/>
          <w:sz w:val="24"/>
        </w:rPr>
        <w:t>IP</w:t>
      </w:r>
      <w:r>
        <w:rPr>
          <w:rFonts w:ascii="Palatino Linotype"/>
          <w:spacing w:val="-14"/>
          <w:w w:val="105"/>
          <w:sz w:val="24"/>
        </w:rPr>
        <w:t> </w:t>
      </w:r>
      <w:r>
        <w:rPr>
          <w:rFonts w:ascii="Palatino Linotype"/>
          <w:w w:val="105"/>
          <w:sz w:val="24"/>
        </w:rPr>
        <w:t>Finding</w:t>
      </w:r>
      <w:r>
        <w:rPr>
          <w:rFonts w:ascii="Georgia"/>
          <w:i/>
          <w:w w:val="105"/>
          <w:sz w:val="24"/>
        </w:rPr>
        <w:t>s</w:t>
      </w:r>
    </w:p>
    <w:p>
      <w:pPr>
        <w:pStyle w:val="BodyText"/>
        <w:rPr>
          <w:rFonts w:ascii="Georgia"/>
          <w:i/>
        </w:rPr>
      </w:pPr>
    </w:p>
    <w:p>
      <w:pPr>
        <w:pStyle w:val="BodyText"/>
        <w:rPr>
          <w:rFonts w:ascii="Georgia"/>
          <w:i/>
        </w:rPr>
      </w:pPr>
    </w:p>
    <w:p>
      <w:pPr>
        <w:pStyle w:val="ListParagraph"/>
        <w:numPr>
          <w:ilvl w:val="3"/>
          <w:numId w:val="21"/>
        </w:numPr>
        <w:tabs>
          <w:tab w:pos="840" w:val="left" w:leader="none"/>
        </w:tabs>
        <w:spacing w:line="511" w:lineRule="auto" w:before="170" w:after="0"/>
        <w:ind w:left="839" w:right="105" w:hanging="360"/>
        <w:jc w:val="left"/>
        <w:rPr>
          <w:rFonts w:ascii="Georgia"/>
          <w:sz w:val="24"/>
        </w:rPr>
      </w:pPr>
      <w:r>
        <w:rPr>
          <w:rFonts w:ascii="Georgia"/>
          <w:sz w:val="24"/>
        </w:rPr>
        <w:t>A pre-selected group of Russian athletes competing at Sochi were  protected by the Sochi sample swapping</w:t>
      </w:r>
      <w:r>
        <w:rPr>
          <w:rFonts w:ascii="Georgia"/>
          <w:spacing w:val="53"/>
          <w:sz w:val="24"/>
        </w:rPr>
        <w:t> </w:t>
      </w:r>
      <w:r>
        <w:rPr>
          <w:rFonts w:ascii="Georgia"/>
          <w:sz w:val="24"/>
        </w:rPr>
        <w:t>methodology.</w:t>
      </w:r>
    </w:p>
    <w:p>
      <w:pPr>
        <w:pStyle w:val="BodyText"/>
        <w:rPr>
          <w:rFonts w:ascii="Georgia"/>
        </w:rPr>
      </w:pPr>
    </w:p>
    <w:p>
      <w:pPr>
        <w:pStyle w:val="BodyText"/>
        <w:spacing w:before="9"/>
        <w:rPr>
          <w:rFonts w:ascii="Georgia"/>
          <w:sz w:val="26"/>
        </w:rPr>
      </w:pPr>
    </w:p>
    <w:p>
      <w:pPr>
        <w:pStyle w:val="ListParagraph"/>
        <w:numPr>
          <w:ilvl w:val="3"/>
          <w:numId w:val="21"/>
        </w:numPr>
        <w:tabs>
          <w:tab w:pos="840" w:val="left" w:leader="none"/>
        </w:tabs>
        <w:spacing w:line="506" w:lineRule="auto" w:before="0" w:after="0"/>
        <w:ind w:left="839" w:right="111" w:hanging="360"/>
        <w:jc w:val="left"/>
        <w:rPr>
          <w:rFonts w:ascii="Georgia"/>
          <w:sz w:val="24"/>
        </w:rPr>
      </w:pPr>
      <w:r>
        <w:rPr>
          <w:rFonts w:ascii="Georgia"/>
          <w:sz w:val="24"/>
        </w:rPr>
        <w:t>Russian officials knew that Russian athletes competing at Sochi used doping</w:t>
      </w:r>
      <w:r>
        <w:rPr>
          <w:rFonts w:ascii="Georgia"/>
          <w:spacing w:val="1"/>
          <w:sz w:val="24"/>
        </w:rPr>
        <w:t> </w:t>
      </w:r>
      <w:r>
        <w:rPr>
          <w:rFonts w:ascii="Georgia"/>
          <w:sz w:val="24"/>
        </w:rPr>
        <w:t>substances.</w:t>
      </w:r>
    </w:p>
    <w:p>
      <w:pPr>
        <w:pStyle w:val="BodyText"/>
        <w:rPr>
          <w:rFonts w:ascii="Georgia"/>
        </w:rPr>
      </w:pPr>
    </w:p>
    <w:p>
      <w:pPr>
        <w:pStyle w:val="BodyText"/>
        <w:rPr>
          <w:rFonts w:ascii="Georgia"/>
        </w:rPr>
      </w:pPr>
    </w:p>
    <w:p>
      <w:pPr>
        <w:pStyle w:val="ListParagraph"/>
        <w:numPr>
          <w:ilvl w:val="1"/>
          <w:numId w:val="22"/>
        </w:numPr>
        <w:tabs>
          <w:tab w:pos="479" w:val="left" w:leader="none"/>
        </w:tabs>
        <w:spacing w:line="240" w:lineRule="auto" w:before="205" w:after="0"/>
        <w:ind w:left="478" w:right="0" w:hanging="359"/>
        <w:jc w:val="both"/>
        <w:rPr>
          <w:rFonts w:ascii="Palatino Linotype"/>
          <w:sz w:val="24"/>
        </w:rPr>
      </w:pPr>
      <w:r>
        <w:rPr>
          <w:rFonts w:ascii="Palatino Linotype"/>
          <w:w w:val="105"/>
          <w:sz w:val="24"/>
        </w:rPr>
        <w:t>The</w:t>
      </w:r>
      <w:r>
        <w:rPr>
          <w:rFonts w:ascii="Palatino Linotype"/>
          <w:spacing w:val="-13"/>
          <w:w w:val="105"/>
          <w:sz w:val="24"/>
        </w:rPr>
        <w:t> </w:t>
      </w:r>
      <w:r>
        <w:rPr>
          <w:rFonts w:ascii="Palatino Linotype"/>
          <w:w w:val="105"/>
          <w:sz w:val="24"/>
        </w:rPr>
        <w:t>Mechanics</w:t>
      </w:r>
      <w:r>
        <w:rPr>
          <w:rFonts w:ascii="Palatino Linotype"/>
          <w:spacing w:val="-12"/>
          <w:w w:val="105"/>
          <w:sz w:val="24"/>
        </w:rPr>
        <w:t> </w:t>
      </w:r>
      <w:r>
        <w:rPr>
          <w:rFonts w:ascii="Palatino Linotype"/>
          <w:w w:val="105"/>
          <w:sz w:val="24"/>
        </w:rPr>
        <w:t>of</w:t>
      </w:r>
      <w:r>
        <w:rPr>
          <w:rFonts w:ascii="Palatino Linotype"/>
          <w:spacing w:val="-12"/>
          <w:w w:val="105"/>
          <w:sz w:val="24"/>
        </w:rPr>
        <w:t> </w:t>
      </w:r>
      <w:r>
        <w:rPr>
          <w:rFonts w:ascii="Palatino Linotype"/>
          <w:w w:val="105"/>
          <w:sz w:val="24"/>
        </w:rPr>
        <w:t>Sample</w:t>
      </w:r>
      <w:r>
        <w:rPr>
          <w:rFonts w:ascii="Palatino Linotype"/>
          <w:spacing w:val="-14"/>
          <w:w w:val="105"/>
          <w:sz w:val="24"/>
        </w:rPr>
        <w:t> </w:t>
      </w:r>
      <w:r>
        <w:rPr>
          <w:rFonts w:ascii="Palatino Linotype"/>
          <w:w w:val="105"/>
          <w:sz w:val="24"/>
        </w:rPr>
        <w:t>Swapping</w:t>
      </w:r>
    </w:p>
    <w:p>
      <w:pPr>
        <w:pStyle w:val="BodyText"/>
        <w:rPr>
          <w:rFonts w:ascii="Palatino Linotype"/>
        </w:rPr>
      </w:pPr>
    </w:p>
    <w:p>
      <w:pPr>
        <w:pStyle w:val="BodyText"/>
        <w:spacing w:before="10"/>
        <w:rPr>
          <w:rFonts w:ascii="Palatino Linotype"/>
          <w:sz w:val="18"/>
        </w:rPr>
      </w:pPr>
    </w:p>
    <w:p>
      <w:pPr>
        <w:pStyle w:val="BodyText"/>
        <w:spacing w:line="508" w:lineRule="auto"/>
        <w:ind w:left="119" w:right="106"/>
        <w:jc w:val="both"/>
        <w:rPr>
          <w:rFonts w:ascii="Georgia"/>
        </w:rPr>
      </w:pPr>
      <w:r>
        <w:rPr>
          <w:rFonts w:ascii="Georgia"/>
        </w:rPr>
        <w:t>The IP has reproduced a copy of the architectural plans for the first floor of the Sochi Laboratory where the analytical bench work on doping samples was conducted.</w:t>
      </w:r>
    </w:p>
    <w:p>
      <w:pPr>
        <w:spacing w:after="0" w:line="508" w:lineRule="auto"/>
        <w:jc w:val="both"/>
        <w:rPr>
          <w:rFonts w:ascii="Georgia"/>
        </w:rPr>
        <w:sectPr>
          <w:pgSz w:w="12240" w:h="15840"/>
          <w:pgMar w:header="0" w:footer="707" w:top="1500" w:bottom="900" w:left="1700" w:right="1680"/>
        </w:sectPr>
      </w:pPr>
    </w:p>
    <w:p>
      <w:pPr>
        <w:pStyle w:val="BodyText"/>
        <w:ind w:left="116"/>
        <w:rPr>
          <w:rFonts w:ascii="Georgia"/>
          <w:sz w:val="20"/>
        </w:rPr>
      </w:pPr>
      <w:r>
        <w:rPr>
          <w:rFonts w:ascii="Georgia"/>
          <w:sz w:val="20"/>
        </w:rPr>
        <w:pict>
          <v:group style="width:432.25pt;height:254.65pt;mso-position-horizontal-relative:char;mso-position-vertical-relative:line" coordorigin="0,0" coordsize="8645,5093">
            <v:shape style="position:absolute;left:0;top:0;width:4661;height:3188" type="#_x0000_t75" stroked="false">
              <v:imagedata r:id="rId127" o:title=""/>
            </v:shape>
            <v:shape style="position:absolute;left:4649;top:0;width:3996;height:3190" type="#_x0000_t75" stroked="false">
              <v:imagedata r:id="rId128" o:title=""/>
            </v:shape>
            <v:shape style="position:absolute;left:0;top:3178;width:8645;height:1915" type="#_x0000_t75" stroked="false">
              <v:imagedata r:id="rId129" o:title=""/>
            </v:shape>
          </v:group>
        </w:pict>
      </w:r>
      <w:r>
        <w:rPr>
          <w:rFonts w:ascii="Georgia"/>
          <w:sz w:val="20"/>
        </w:rPr>
      </w:r>
    </w:p>
    <w:p>
      <w:pPr>
        <w:pStyle w:val="BodyText"/>
        <w:spacing w:before="5"/>
        <w:rPr>
          <w:rFonts w:ascii="Georgia"/>
          <w:sz w:val="20"/>
        </w:rPr>
      </w:pPr>
    </w:p>
    <w:p>
      <w:pPr>
        <w:pStyle w:val="BodyText"/>
        <w:spacing w:before="40"/>
        <w:ind w:left="119"/>
        <w:jc w:val="both"/>
        <w:rPr>
          <w:rFonts w:ascii="Georgia"/>
        </w:rPr>
      </w:pPr>
      <w:r>
        <w:rPr>
          <w:rFonts w:ascii="Georgia"/>
        </w:rPr>
        <w:t>Number 1-9 and magnification were added to this architectural plan by the IP.</w:t>
      </w:r>
    </w:p>
    <w:p>
      <w:pPr>
        <w:pStyle w:val="BodyText"/>
        <w:rPr>
          <w:rFonts w:ascii="Georgia"/>
        </w:rPr>
      </w:pPr>
    </w:p>
    <w:p>
      <w:pPr>
        <w:pStyle w:val="BodyText"/>
        <w:rPr>
          <w:rFonts w:ascii="Georgia"/>
        </w:rPr>
      </w:pPr>
    </w:p>
    <w:p>
      <w:pPr>
        <w:pStyle w:val="BodyText"/>
        <w:rPr>
          <w:rFonts w:ascii="Georgia"/>
        </w:rPr>
      </w:pPr>
    </w:p>
    <w:p>
      <w:pPr>
        <w:pStyle w:val="BodyText"/>
        <w:spacing w:before="8"/>
        <w:rPr>
          <w:rFonts w:ascii="Georgia"/>
          <w:sz w:val="20"/>
        </w:rPr>
      </w:pPr>
    </w:p>
    <w:p>
      <w:pPr>
        <w:pStyle w:val="ListParagraph"/>
        <w:numPr>
          <w:ilvl w:val="2"/>
          <w:numId w:val="22"/>
        </w:numPr>
        <w:tabs>
          <w:tab w:pos="659" w:val="left" w:leader="none"/>
        </w:tabs>
        <w:spacing w:line="240" w:lineRule="auto" w:before="0" w:after="0"/>
        <w:ind w:left="658" w:right="0" w:hanging="539"/>
        <w:jc w:val="both"/>
        <w:rPr>
          <w:rFonts w:ascii="Palatino Linotype"/>
          <w:sz w:val="24"/>
        </w:rPr>
      </w:pPr>
      <w:r>
        <w:rPr>
          <w:rFonts w:ascii="Palatino Linotype"/>
          <w:w w:val="105"/>
          <w:sz w:val="24"/>
        </w:rPr>
        <w:t>Identification</w:t>
      </w:r>
      <w:r>
        <w:rPr>
          <w:rFonts w:ascii="Palatino Linotype"/>
          <w:spacing w:val="-19"/>
          <w:w w:val="105"/>
          <w:sz w:val="24"/>
        </w:rPr>
        <w:t> </w:t>
      </w:r>
      <w:r>
        <w:rPr>
          <w:rFonts w:ascii="Palatino Linotype"/>
          <w:w w:val="105"/>
          <w:sz w:val="24"/>
        </w:rPr>
        <w:t>of</w:t>
      </w:r>
      <w:r>
        <w:rPr>
          <w:rFonts w:ascii="Palatino Linotype"/>
          <w:spacing w:val="-19"/>
          <w:w w:val="105"/>
          <w:sz w:val="24"/>
        </w:rPr>
        <w:t> </w:t>
      </w:r>
      <w:r>
        <w:rPr>
          <w:rFonts w:ascii="Palatino Linotype"/>
          <w:w w:val="105"/>
          <w:sz w:val="24"/>
        </w:rPr>
        <w:t>the</w:t>
      </w:r>
      <w:r>
        <w:rPr>
          <w:rFonts w:ascii="Palatino Linotype"/>
          <w:spacing w:val="-17"/>
          <w:w w:val="105"/>
          <w:sz w:val="24"/>
        </w:rPr>
        <w:t> </w:t>
      </w:r>
      <w:r>
        <w:rPr>
          <w:rFonts w:ascii="Georgia"/>
          <w:i/>
          <w:w w:val="105"/>
          <w:sz w:val="24"/>
        </w:rPr>
        <w:t>I</w:t>
      </w:r>
      <w:r>
        <w:rPr>
          <w:rFonts w:ascii="Palatino Linotype"/>
          <w:w w:val="105"/>
          <w:sz w:val="24"/>
        </w:rPr>
        <w:t>ncoming</w:t>
      </w:r>
      <w:r>
        <w:rPr>
          <w:rFonts w:ascii="Palatino Linotype"/>
          <w:spacing w:val="-16"/>
          <w:w w:val="105"/>
          <w:sz w:val="24"/>
        </w:rPr>
        <w:t> </w:t>
      </w:r>
      <w:r>
        <w:rPr>
          <w:rFonts w:ascii="Georgia"/>
          <w:i/>
          <w:w w:val="105"/>
          <w:sz w:val="24"/>
        </w:rPr>
        <w:t>S</w:t>
      </w:r>
      <w:r>
        <w:rPr>
          <w:rFonts w:ascii="Palatino Linotype"/>
          <w:w w:val="105"/>
          <w:sz w:val="24"/>
        </w:rPr>
        <w:t>ample</w:t>
      </w:r>
    </w:p>
    <w:p>
      <w:pPr>
        <w:pStyle w:val="BodyText"/>
        <w:rPr>
          <w:rFonts w:ascii="Palatino Linotype"/>
        </w:rPr>
      </w:pPr>
    </w:p>
    <w:p>
      <w:pPr>
        <w:pStyle w:val="BodyText"/>
        <w:spacing w:before="5"/>
        <w:rPr>
          <w:rFonts w:ascii="Palatino Linotype"/>
          <w:sz w:val="29"/>
        </w:rPr>
      </w:pPr>
    </w:p>
    <w:p>
      <w:pPr>
        <w:pStyle w:val="BodyText"/>
        <w:spacing w:before="1"/>
        <w:ind w:left="119"/>
        <w:jc w:val="both"/>
        <w:rPr>
          <w:rFonts w:ascii="Georgia"/>
        </w:rPr>
      </w:pPr>
      <w:r>
        <w:rPr>
          <w:rFonts w:ascii="Georgia"/>
        </w:rPr>
        <w:t>The following process is described in the evidence of Dr. Rodchenkov.</w:t>
      </w:r>
    </w:p>
    <w:p>
      <w:pPr>
        <w:pStyle w:val="BodyText"/>
        <w:rPr>
          <w:rFonts w:ascii="Georgia"/>
        </w:rPr>
      </w:pPr>
    </w:p>
    <w:p>
      <w:pPr>
        <w:pStyle w:val="BodyText"/>
        <w:rPr>
          <w:rFonts w:ascii="Georgia"/>
        </w:rPr>
      </w:pPr>
    </w:p>
    <w:p>
      <w:pPr>
        <w:pStyle w:val="BodyText"/>
        <w:spacing w:before="9"/>
        <w:rPr>
          <w:rFonts w:ascii="Georgia"/>
          <w:sz w:val="29"/>
        </w:rPr>
      </w:pPr>
    </w:p>
    <w:p>
      <w:pPr>
        <w:pStyle w:val="BodyText"/>
        <w:spacing w:line="508" w:lineRule="auto"/>
        <w:ind w:left="119" w:right="127"/>
        <w:jc w:val="both"/>
        <w:rPr>
          <w:rFonts w:ascii="Georgia"/>
        </w:rPr>
      </w:pPr>
      <w:r>
        <w:rPr>
          <w:rFonts w:ascii="Georgia"/>
        </w:rPr>
        <w:t>A protected athlete's sample would be collected in the presence of a Doping Control Officer ("DCO") at the particular event venue.   The athlete would seal   the bottles, complete the DCF, and subsequently take a picture of the bottle sample number. The information was then transmitted to Rodionova. She would communicate this information by phone or text to Dr. Rodchenkov signaling to Dr. Rodchenkov that the urine needed to swapped out of that</w:t>
      </w:r>
      <w:r>
        <w:rPr>
          <w:rFonts w:ascii="Georgia"/>
          <w:spacing w:val="11"/>
        </w:rPr>
        <w:t> </w:t>
      </w:r>
      <w:r>
        <w:rPr>
          <w:rFonts w:ascii="Georgia"/>
        </w:rPr>
        <w:t>bottle.</w:t>
      </w:r>
    </w:p>
    <w:p>
      <w:pPr>
        <w:spacing w:after="0" w:line="508" w:lineRule="auto"/>
        <w:jc w:val="both"/>
        <w:rPr>
          <w:rFonts w:ascii="Georgia"/>
        </w:rPr>
        <w:sectPr>
          <w:pgSz w:w="12240" w:h="15840"/>
          <w:pgMar w:header="0" w:footer="707" w:top="1460" w:bottom="900" w:left="1700" w:right="1660"/>
        </w:sectPr>
      </w:pPr>
    </w:p>
    <w:p>
      <w:pPr>
        <w:pStyle w:val="BodyText"/>
        <w:spacing w:line="508" w:lineRule="auto" w:before="20"/>
        <w:ind w:left="119" w:right="106"/>
        <w:jc w:val="both"/>
        <w:rPr>
          <w:rFonts w:ascii="Georgia"/>
        </w:rPr>
      </w:pPr>
      <w:r>
        <w:rPr>
          <w:rFonts w:ascii="Georgia"/>
        </w:rPr>
        <w:t>All athletes' samples were consolidated into shipment lots at the Olympic Village by RUSADA's Doping Control Manager, Evgeny Antilsky. Russian athletes' samples were always scheduled in the late day shipment to the Laboratory. Antilsky would notify Evgeny Kurdyatsev, Head of the Registration  and Biological Sample Accounting Department in the Laboratory that the protected athletes' samples were being delivered  to the Laboratory.</w:t>
      </w:r>
    </w:p>
    <w:p>
      <w:pPr>
        <w:pStyle w:val="BodyText"/>
        <w:rPr>
          <w:rFonts w:ascii="Georgia"/>
        </w:rPr>
      </w:pPr>
    </w:p>
    <w:p>
      <w:pPr>
        <w:pStyle w:val="BodyText"/>
        <w:rPr>
          <w:rFonts w:ascii="Georgia"/>
        </w:rPr>
      </w:pPr>
    </w:p>
    <w:p>
      <w:pPr>
        <w:pStyle w:val="ListParagraph"/>
        <w:numPr>
          <w:ilvl w:val="2"/>
          <w:numId w:val="22"/>
        </w:numPr>
        <w:tabs>
          <w:tab w:pos="717" w:val="left" w:leader="none"/>
        </w:tabs>
        <w:spacing w:line="240" w:lineRule="auto" w:before="203" w:after="0"/>
        <w:ind w:left="717" w:right="0" w:hanging="598"/>
        <w:jc w:val="both"/>
        <w:rPr>
          <w:rFonts w:ascii="Palatino Linotype"/>
          <w:sz w:val="24"/>
        </w:rPr>
      </w:pPr>
      <w:r>
        <w:rPr>
          <w:rFonts w:ascii="Palatino Linotype"/>
          <w:sz w:val="24"/>
        </w:rPr>
        <w:t>Movement of </w:t>
      </w:r>
      <w:r>
        <w:rPr>
          <w:rFonts w:ascii="Georgia"/>
          <w:i/>
          <w:sz w:val="24"/>
        </w:rPr>
        <w:t>S</w:t>
      </w:r>
      <w:r>
        <w:rPr>
          <w:rFonts w:ascii="Palatino Linotype"/>
          <w:sz w:val="24"/>
        </w:rPr>
        <w:t>ample within the Lab</w:t>
      </w:r>
      <w:r>
        <w:rPr>
          <w:rFonts w:ascii="Georgia"/>
          <w:i/>
          <w:sz w:val="24"/>
        </w:rPr>
        <w:t>oratory </w:t>
      </w:r>
      <w:r>
        <w:rPr>
          <w:rFonts w:ascii="Palatino Linotype"/>
          <w:sz w:val="24"/>
        </w:rPr>
        <w:t>to the </w:t>
      </w:r>
      <w:r>
        <w:rPr>
          <w:rFonts w:ascii="Georgia"/>
          <w:i/>
          <w:sz w:val="24"/>
        </w:rPr>
        <w:t>A</w:t>
      </w:r>
      <w:r>
        <w:rPr>
          <w:rFonts w:ascii="Palatino Linotype"/>
          <w:sz w:val="24"/>
        </w:rPr>
        <w:t>liquoting  </w:t>
      </w:r>
      <w:r>
        <w:rPr>
          <w:rFonts w:ascii="Palatino Linotype"/>
          <w:spacing w:val="55"/>
          <w:sz w:val="24"/>
        </w:rPr>
        <w:t> </w:t>
      </w:r>
      <w:r>
        <w:rPr>
          <w:rFonts w:ascii="Georgia"/>
          <w:i/>
          <w:sz w:val="24"/>
        </w:rPr>
        <w:t>R</w:t>
      </w:r>
      <w:r>
        <w:rPr>
          <w:rFonts w:ascii="Palatino Linotype"/>
          <w:sz w:val="24"/>
        </w:rPr>
        <w:t>oom</w:t>
      </w:r>
    </w:p>
    <w:p>
      <w:pPr>
        <w:pStyle w:val="BodyText"/>
        <w:rPr>
          <w:rFonts w:ascii="Palatino Linotype"/>
        </w:rPr>
      </w:pPr>
    </w:p>
    <w:p>
      <w:pPr>
        <w:pStyle w:val="BodyText"/>
        <w:spacing w:before="5"/>
        <w:rPr>
          <w:rFonts w:ascii="Palatino Linotype"/>
          <w:sz w:val="29"/>
        </w:rPr>
      </w:pPr>
    </w:p>
    <w:p>
      <w:pPr>
        <w:pStyle w:val="BodyText"/>
        <w:spacing w:line="508" w:lineRule="auto" w:before="1"/>
        <w:ind w:left="119" w:right="107"/>
        <w:jc w:val="both"/>
        <w:rPr>
          <w:rFonts w:ascii="Georgia"/>
        </w:rPr>
      </w:pPr>
      <w:r>
        <w:rPr>
          <w:rFonts w:ascii="Georgia"/>
        </w:rPr>
        <w:t>Kurdyatsev waited at the Laboratory reception centre for the samples to arrive. Subsequently, he completed the usual sample reception  documentation  including confirmation of chain of custody, unpacked the samples and placed A and B bottles on separate mobile carts capable of holding trays of</w:t>
      </w:r>
      <w:r>
        <w:rPr>
          <w:rFonts w:ascii="Georgia"/>
          <w:spacing w:val="-37"/>
        </w:rPr>
        <w:t> </w:t>
      </w:r>
      <w:r>
        <w:rPr>
          <w:rFonts w:ascii="Georgia"/>
        </w:rPr>
        <w:t>samples.</w:t>
      </w:r>
    </w:p>
    <w:p>
      <w:pPr>
        <w:pStyle w:val="BodyText"/>
        <w:rPr>
          <w:rFonts w:ascii="Georgia"/>
        </w:rPr>
      </w:pPr>
    </w:p>
    <w:p>
      <w:pPr>
        <w:pStyle w:val="BodyText"/>
        <w:spacing w:before="10"/>
        <w:rPr>
          <w:rFonts w:ascii="Georgia"/>
          <w:sz w:val="26"/>
        </w:rPr>
      </w:pPr>
    </w:p>
    <w:p>
      <w:pPr>
        <w:pStyle w:val="BodyText"/>
        <w:spacing w:line="508" w:lineRule="auto"/>
        <w:ind w:left="119" w:right="108"/>
        <w:jc w:val="both"/>
        <w:rPr>
          <w:rFonts w:ascii="Georgia"/>
        </w:rPr>
      </w:pPr>
      <w:r>
        <w:rPr>
          <w:rFonts w:ascii="Georgia"/>
        </w:rPr>
        <w:t>Kurdyatsev would take the B samples to the long-term storage room,  and  remove the protected athletes B samples and slip those samples into his lab coat pocket. He would transport the A samples to the aliquoting</w:t>
      </w:r>
      <w:r>
        <w:rPr>
          <w:rFonts w:ascii="Georgia"/>
          <w:spacing w:val="29"/>
        </w:rPr>
        <w:t> </w:t>
      </w:r>
      <w:r>
        <w:rPr>
          <w:rFonts w:ascii="Georgia"/>
        </w:rPr>
        <w:t>room.</w:t>
      </w:r>
    </w:p>
    <w:p>
      <w:pPr>
        <w:pStyle w:val="BodyText"/>
        <w:rPr>
          <w:rFonts w:ascii="Georgia"/>
        </w:rPr>
      </w:pPr>
    </w:p>
    <w:p>
      <w:pPr>
        <w:pStyle w:val="BodyText"/>
        <w:rPr>
          <w:rFonts w:ascii="Georgia"/>
        </w:rPr>
      </w:pPr>
    </w:p>
    <w:p>
      <w:pPr>
        <w:pStyle w:val="ListParagraph"/>
        <w:numPr>
          <w:ilvl w:val="2"/>
          <w:numId w:val="22"/>
        </w:numPr>
        <w:tabs>
          <w:tab w:pos="660" w:val="left" w:leader="none"/>
        </w:tabs>
        <w:spacing w:line="240" w:lineRule="auto" w:before="208" w:after="0"/>
        <w:ind w:left="659" w:right="0" w:hanging="540"/>
        <w:jc w:val="both"/>
        <w:rPr>
          <w:rFonts w:ascii="Palatino Linotype"/>
          <w:sz w:val="24"/>
        </w:rPr>
      </w:pPr>
      <w:r>
        <w:rPr>
          <w:rFonts w:ascii="Palatino Linotype"/>
          <w:w w:val="105"/>
          <w:sz w:val="24"/>
        </w:rPr>
        <w:t>Bottle Passing &amp;</w:t>
      </w:r>
      <w:r>
        <w:rPr>
          <w:rFonts w:ascii="Palatino Linotype"/>
          <w:spacing w:val="-16"/>
          <w:w w:val="105"/>
          <w:sz w:val="24"/>
        </w:rPr>
        <w:t> </w:t>
      </w:r>
      <w:r>
        <w:rPr>
          <w:rFonts w:ascii="Georgia"/>
          <w:i/>
          <w:w w:val="105"/>
          <w:sz w:val="24"/>
        </w:rPr>
        <w:t>O</w:t>
      </w:r>
      <w:r>
        <w:rPr>
          <w:rFonts w:ascii="Palatino Linotype"/>
          <w:w w:val="105"/>
          <w:sz w:val="24"/>
        </w:rPr>
        <w:t>pening</w:t>
      </w:r>
    </w:p>
    <w:p>
      <w:pPr>
        <w:pStyle w:val="BodyText"/>
        <w:rPr>
          <w:rFonts w:ascii="Palatino Linotype"/>
        </w:rPr>
      </w:pPr>
    </w:p>
    <w:p>
      <w:pPr>
        <w:pStyle w:val="BodyText"/>
        <w:spacing w:before="1"/>
        <w:rPr>
          <w:rFonts w:ascii="Palatino Linotype"/>
          <w:sz w:val="29"/>
        </w:rPr>
      </w:pPr>
    </w:p>
    <w:p>
      <w:pPr>
        <w:pStyle w:val="BodyText"/>
        <w:spacing w:line="511" w:lineRule="auto"/>
        <w:ind w:left="119" w:right="107"/>
        <w:jc w:val="both"/>
        <w:rPr>
          <w:rFonts w:ascii="Georgia"/>
        </w:rPr>
      </w:pPr>
      <w:r>
        <w:rPr>
          <w:rFonts w:ascii="Georgia"/>
        </w:rPr>
        <w:t>At a convenient moment, usually around midnight when no one else was in the room, Kurdyatsev would  pass the  protected  athletes  A  and  B  samples through</w:t>
      </w:r>
    </w:p>
    <w:p>
      <w:pPr>
        <w:spacing w:after="0" w:line="511" w:lineRule="auto"/>
        <w:jc w:val="both"/>
        <w:rPr>
          <w:rFonts w:ascii="Georgia"/>
        </w:rPr>
        <w:sectPr>
          <w:pgSz w:w="12240" w:h="15840"/>
          <w:pgMar w:header="0" w:footer="707" w:top="1440" w:bottom="900" w:left="1700" w:right="1680"/>
        </w:sectPr>
      </w:pPr>
    </w:p>
    <w:p>
      <w:pPr>
        <w:pStyle w:val="BodyText"/>
        <w:spacing w:line="511" w:lineRule="auto" w:before="20"/>
        <w:ind w:left="119" w:right="106"/>
        <w:jc w:val="both"/>
        <w:rPr>
          <w:rFonts w:ascii="Georgia"/>
        </w:rPr>
      </w:pPr>
      <w:r>
        <w:rPr>
          <w:rFonts w:ascii="Georgia"/>
        </w:rPr>
        <w:t>the mouse hole in the aliquoting room to the operations room where Dr. Rodchenkov and others were waiting.</w:t>
      </w:r>
    </w:p>
    <w:p>
      <w:pPr>
        <w:pStyle w:val="BodyText"/>
        <w:rPr>
          <w:rFonts w:ascii="Georgia"/>
        </w:rPr>
      </w:pPr>
    </w:p>
    <w:p>
      <w:pPr>
        <w:pStyle w:val="BodyText"/>
        <w:spacing w:before="7"/>
        <w:rPr>
          <w:rFonts w:ascii="Georgia"/>
          <w:sz w:val="26"/>
        </w:rPr>
      </w:pPr>
    </w:p>
    <w:p>
      <w:pPr>
        <w:pStyle w:val="BodyText"/>
        <w:spacing w:line="508" w:lineRule="auto" w:before="1"/>
        <w:ind w:left="119" w:right="108"/>
        <w:jc w:val="both"/>
        <w:rPr>
          <w:rFonts w:ascii="Georgia"/>
        </w:rPr>
      </w:pPr>
      <w:r>
        <w:rPr>
          <w:rFonts w:ascii="Georgia"/>
        </w:rPr>
        <w:t>Once the samples were passed through, they were  given to FSB Blokhin, who  had a security clearance to enter the laboratory under the guise of being a sewer engineer employed by engineering company Bilfinger.  Below is screen shot of  the list of individuals with security clearance to enter the Sochi Laboratory. Evgeny Blokhin's name is</w:t>
      </w:r>
      <w:r>
        <w:rPr>
          <w:rFonts w:ascii="Georgia"/>
          <w:spacing w:val="23"/>
        </w:rPr>
        <w:t> </w:t>
      </w:r>
      <w:r>
        <w:rPr>
          <w:rFonts w:ascii="Georgia"/>
        </w:rPr>
        <w:t>highlighted:</w:t>
      </w:r>
    </w:p>
    <w:p>
      <w:pPr>
        <w:pStyle w:val="BodyText"/>
        <w:rPr>
          <w:rFonts w:ascii="Georgia"/>
          <w:sz w:val="20"/>
        </w:rPr>
      </w:pPr>
    </w:p>
    <w:p>
      <w:pPr>
        <w:pStyle w:val="BodyText"/>
        <w:spacing w:before="2"/>
        <w:rPr>
          <w:rFonts w:ascii="Georgia"/>
          <w:sz w:val="27"/>
        </w:rPr>
      </w:pPr>
      <w:r>
        <w:rPr/>
        <w:drawing>
          <wp:anchor distT="0" distB="0" distL="0" distR="0" allowOverlap="1" layoutInCell="1" locked="0" behindDoc="0" simplePos="0" relativeHeight="1744">
            <wp:simplePos x="0" y="0"/>
            <wp:positionH relativeFrom="page">
              <wp:posOffset>1153667</wp:posOffset>
            </wp:positionH>
            <wp:positionV relativeFrom="paragraph">
              <wp:posOffset>221181</wp:posOffset>
            </wp:positionV>
            <wp:extent cx="5454148" cy="2676334"/>
            <wp:effectExtent l="0" t="0" r="0" b="0"/>
            <wp:wrapTopAndBottom/>
            <wp:docPr id="37" name="image98.png" descr=""/>
            <wp:cNvGraphicFramePr>
              <a:graphicFrameLocks noChangeAspect="1"/>
            </wp:cNvGraphicFramePr>
            <a:graphic>
              <a:graphicData uri="http://schemas.openxmlformats.org/drawingml/2006/picture">
                <pic:pic>
                  <pic:nvPicPr>
                    <pic:cNvPr id="38" name="image98.png"/>
                    <pic:cNvPicPr/>
                  </pic:nvPicPr>
                  <pic:blipFill>
                    <a:blip r:embed="rId130" cstate="print"/>
                    <a:stretch>
                      <a:fillRect/>
                    </a:stretch>
                  </pic:blipFill>
                  <pic:spPr>
                    <a:xfrm>
                      <a:off x="0" y="0"/>
                      <a:ext cx="5454148" cy="2676334"/>
                    </a:xfrm>
                    <a:prstGeom prst="rect">
                      <a:avLst/>
                    </a:prstGeom>
                  </pic:spPr>
                </pic:pic>
              </a:graphicData>
            </a:graphic>
          </wp:anchor>
        </w:drawing>
      </w:r>
    </w:p>
    <w:p>
      <w:pPr>
        <w:pStyle w:val="BodyText"/>
        <w:spacing w:before="6"/>
        <w:rPr>
          <w:rFonts w:ascii="Georgia"/>
          <w:sz w:val="25"/>
        </w:rPr>
      </w:pPr>
    </w:p>
    <w:p>
      <w:pPr>
        <w:pStyle w:val="BodyText"/>
        <w:spacing w:line="506" w:lineRule="auto"/>
        <w:ind w:left="119" w:right="107"/>
        <w:jc w:val="both"/>
        <w:rPr>
          <w:rFonts w:ascii="Georgia"/>
        </w:rPr>
      </w:pPr>
      <w:r>
        <w:rPr>
          <w:rFonts w:ascii="Georgia"/>
        </w:rPr>
        <w:t>The IP has modified the staff entry list to highlight FSB Blokhin as having  security</w:t>
      </w:r>
      <w:r>
        <w:rPr>
          <w:rFonts w:ascii="Georgia"/>
          <w:spacing w:val="-10"/>
        </w:rPr>
        <w:t> </w:t>
      </w:r>
      <w:r>
        <w:rPr>
          <w:rFonts w:ascii="Georgia"/>
        </w:rPr>
        <w:t>clearance</w:t>
      </w:r>
      <w:r>
        <w:rPr>
          <w:rFonts w:ascii="Georgia"/>
          <w:spacing w:val="-10"/>
        </w:rPr>
        <w:t> </w:t>
      </w:r>
      <w:r>
        <w:rPr>
          <w:rFonts w:ascii="Georgia"/>
        </w:rPr>
        <w:t>to</w:t>
      </w:r>
      <w:r>
        <w:rPr>
          <w:rFonts w:ascii="Georgia"/>
          <w:spacing w:val="-7"/>
        </w:rPr>
        <w:t> </w:t>
      </w:r>
      <w:r>
        <w:rPr>
          <w:rFonts w:ascii="Georgia"/>
        </w:rPr>
        <w:t>enter</w:t>
      </w:r>
      <w:r>
        <w:rPr>
          <w:rFonts w:ascii="Georgia"/>
          <w:spacing w:val="-10"/>
        </w:rPr>
        <w:t> </w:t>
      </w:r>
      <w:r>
        <w:rPr>
          <w:rFonts w:ascii="Georgia"/>
        </w:rPr>
        <w:t>the</w:t>
      </w:r>
      <w:r>
        <w:rPr>
          <w:rFonts w:ascii="Georgia"/>
          <w:spacing w:val="-10"/>
        </w:rPr>
        <w:t> </w:t>
      </w:r>
      <w:r>
        <w:rPr>
          <w:rFonts w:ascii="Georgia"/>
        </w:rPr>
        <w:t>Laboratory.</w:t>
      </w:r>
    </w:p>
    <w:p>
      <w:pPr>
        <w:pStyle w:val="BodyText"/>
        <w:rPr>
          <w:rFonts w:ascii="Georgia"/>
        </w:rPr>
      </w:pPr>
    </w:p>
    <w:p>
      <w:pPr>
        <w:pStyle w:val="BodyText"/>
        <w:spacing w:before="1"/>
        <w:rPr>
          <w:rFonts w:ascii="Georgia"/>
          <w:sz w:val="27"/>
        </w:rPr>
      </w:pPr>
    </w:p>
    <w:p>
      <w:pPr>
        <w:pStyle w:val="BodyText"/>
        <w:spacing w:line="508" w:lineRule="auto" w:before="1"/>
        <w:ind w:left="119" w:right="109" w:firstLine="59"/>
        <w:jc w:val="both"/>
        <w:rPr>
          <w:rFonts w:ascii="Georgia"/>
        </w:rPr>
      </w:pPr>
      <w:r>
        <w:rPr>
          <w:rFonts w:ascii="Georgia"/>
        </w:rPr>
        <w:t>FSB Blokhin would take the B sample bottles away and return up to two hours later with the caps removed. FSB Blokhin also brought the athletes' clean urine from the FSB building to the laboratory.</w:t>
      </w:r>
    </w:p>
    <w:p>
      <w:pPr>
        <w:spacing w:after="0" w:line="508" w:lineRule="auto"/>
        <w:jc w:val="both"/>
        <w:rPr>
          <w:rFonts w:ascii="Georgia"/>
        </w:rPr>
        <w:sectPr>
          <w:pgSz w:w="12240" w:h="15840"/>
          <w:pgMar w:header="0" w:footer="707" w:top="1440" w:bottom="900" w:left="1700" w:right="1680"/>
        </w:sectPr>
      </w:pPr>
    </w:p>
    <w:p>
      <w:pPr>
        <w:pStyle w:val="BodyText"/>
        <w:rPr>
          <w:rFonts w:ascii="Georgia"/>
          <w:sz w:val="20"/>
        </w:rPr>
      </w:pPr>
    </w:p>
    <w:p>
      <w:pPr>
        <w:pStyle w:val="BodyText"/>
        <w:rPr>
          <w:rFonts w:ascii="Georgia"/>
        </w:rPr>
      </w:pPr>
    </w:p>
    <w:p>
      <w:pPr>
        <w:pStyle w:val="BodyText"/>
        <w:spacing w:line="508" w:lineRule="auto" w:before="40"/>
        <w:ind w:left="119" w:right="107"/>
        <w:jc w:val="both"/>
        <w:rPr>
          <w:rFonts w:ascii="Georgia"/>
        </w:rPr>
      </w:pPr>
      <w:r>
        <w:rPr>
          <w:rFonts w:ascii="Georgia"/>
        </w:rPr>
        <w:t>No laboratory personnel ever witnessed the FSB's method for removing the caps of the bottles. In order to verify that the caps of the bottles were removed the IP conducted its own experiment. The IP is satisfied that the caps of the bottles can be removed and the caps were not counterfeit.</w:t>
      </w:r>
    </w:p>
    <w:p>
      <w:pPr>
        <w:pStyle w:val="BodyText"/>
        <w:rPr>
          <w:rFonts w:ascii="Georgia"/>
        </w:rPr>
      </w:pPr>
    </w:p>
    <w:p>
      <w:pPr>
        <w:pStyle w:val="BodyText"/>
        <w:rPr>
          <w:rFonts w:ascii="Georgia"/>
        </w:rPr>
      </w:pPr>
    </w:p>
    <w:p>
      <w:pPr>
        <w:pStyle w:val="ListParagraph"/>
        <w:numPr>
          <w:ilvl w:val="2"/>
          <w:numId w:val="22"/>
        </w:numPr>
        <w:tabs>
          <w:tab w:pos="658" w:val="left" w:leader="none"/>
        </w:tabs>
        <w:spacing w:line="240" w:lineRule="auto" w:before="203" w:after="0"/>
        <w:ind w:left="657" w:right="0" w:hanging="538"/>
        <w:jc w:val="both"/>
        <w:rPr>
          <w:rFonts w:ascii="Palatino Linotype"/>
          <w:sz w:val="24"/>
        </w:rPr>
      </w:pPr>
      <w:r>
        <w:rPr>
          <w:rFonts w:ascii="Palatino Linotype"/>
          <w:w w:val="105"/>
          <w:sz w:val="24"/>
        </w:rPr>
        <w:t>Doctoring</w:t>
      </w:r>
      <w:r>
        <w:rPr>
          <w:rFonts w:ascii="Palatino Linotype"/>
          <w:spacing w:val="-20"/>
          <w:w w:val="105"/>
          <w:sz w:val="24"/>
        </w:rPr>
        <w:t> </w:t>
      </w:r>
      <w:r>
        <w:rPr>
          <w:rFonts w:ascii="Palatino Linotype"/>
          <w:w w:val="105"/>
          <w:sz w:val="24"/>
        </w:rPr>
        <w:t>the</w:t>
      </w:r>
      <w:r>
        <w:rPr>
          <w:rFonts w:ascii="Palatino Linotype"/>
          <w:spacing w:val="-21"/>
          <w:w w:val="105"/>
          <w:sz w:val="24"/>
        </w:rPr>
        <w:t> </w:t>
      </w:r>
      <w:r>
        <w:rPr>
          <w:rFonts w:ascii="Palatino Linotype"/>
          <w:w w:val="105"/>
          <w:sz w:val="24"/>
        </w:rPr>
        <w:t>Replacement</w:t>
      </w:r>
      <w:r>
        <w:rPr>
          <w:rFonts w:ascii="Palatino Linotype"/>
          <w:spacing w:val="-19"/>
          <w:w w:val="105"/>
          <w:sz w:val="24"/>
        </w:rPr>
        <w:t> </w:t>
      </w:r>
      <w:r>
        <w:rPr>
          <w:rFonts w:ascii="Palatino Linotype"/>
          <w:w w:val="105"/>
          <w:sz w:val="24"/>
        </w:rPr>
        <w:t>Urine</w:t>
      </w:r>
      <w:r>
        <w:rPr>
          <w:rFonts w:ascii="Palatino Linotype"/>
          <w:spacing w:val="-19"/>
          <w:w w:val="105"/>
          <w:sz w:val="24"/>
        </w:rPr>
        <w:t> </w:t>
      </w:r>
      <w:r>
        <w:rPr>
          <w:rFonts w:ascii="Palatino Linotype"/>
          <w:w w:val="105"/>
          <w:sz w:val="24"/>
        </w:rPr>
        <w:t>in</w:t>
      </w:r>
      <w:r>
        <w:rPr>
          <w:rFonts w:ascii="Palatino Linotype"/>
          <w:spacing w:val="-19"/>
          <w:w w:val="105"/>
          <w:sz w:val="24"/>
        </w:rPr>
        <w:t> </w:t>
      </w:r>
      <w:r>
        <w:rPr>
          <w:rFonts w:ascii="Palatino Linotype"/>
          <w:w w:val="105"/>
          <w:sz w:val="24"/>
        </w:rPr>
        <w:t>the</w:t>
      </w:r>
      <w:r>
        <w:rPr>
          <w:rFonts w:ascii="Palatino Linotype"/>
          <w:spacing w:val="-21"/>
          <w:w w:val="105"/>
          <w:sz w:val="24"/>
        </w:rPr>
        <w:t> </w:t>
      </w:r>
      <w:r>
        <w:rPr>
          <w:rFonts w:ascii="Palatino Linotype"/>
          <w:w w:val="105"/>
          <w:sz w:val="24"/>
        </w:rPr>
        <w:t>Operational</w:t>
      </w:r>
      <w:r>
        <w:rPr>
          <w:rFonts w:ascii="Palatino Linotype"/>
          <w:spacing w:val="-19"/>
          <w:w w:val="105"/>
          <w:sz w:val="24"/>
        </w:rPr>
        <w:t> </w:t>
      </w:r>
      <w:r>
        <w:rPr>
          <w:rFonts w:ascii="Palatino Linotype"/>
          <w:w w:val="105"/>
          <w:sz w:val="24"/>
        </w:rPr>
        <w:t>Room</w:t>
      </w:r>
    </w:p>
    <w:p>
      <w:pPr>
        <w:pStyle w:val="BodyText"/>
        <w:rPr>
          <w:rFonts w:ascii="Palatino Linotype"/>
        </w:rPr>
      </w:pPr>
    </w:p>
    <w:p>
      <w:pPr>
        <w:pStyle w:val="BodyText"/>
        <w:spacing w:before="5"/>
        <w:rPr>
          <w:rFonts w:ascii="Palatino Linotype"/>
          <w:sz w:val="29"/>
        </w:rPr>
      </w:pPr>
    </w:p>
    <w:p>
      <w:pPr>
        <w:pStyle w:val="BodyText"/>
        <w:spacing w:line="508" w:lineRule="auto" w:before="1"/>
        <w:ind w:left="119" w:right="108"/>
        <w:jc w:val="both"/>
        <w:rPr>
          <w:rFonts w:ascii="Georgia"/>
        </w:rPr>
      </w:pPr>
      <w:r>
        <w:rPr>
          <w:rFonts w:ascii="Georgia"/>
        </w:rPr>
        <w:t>With the protected athlete's clean urine and the B sample bottle cap removed, Dr. Rodchenkov and his team would go to work on the samples in the dead of night when there was little activity in the laboratory.</w:t>
      </w:r>
    </w:p>
    <w:p>
      <w:pPr>
        <w:pStyle w:val="BodyText"/>
        <w:rPr>
          <w:rFonts w:ascii="Georgia"/>
        </w:rPr>
      </w:pPr>
    </w:p>
    <w:p>
      <w:pPr>
        <w:pStyle w:val="BodyText"/>
        <w:spacing w:before="10"/>
        <w:rPr>
          <w:rFonts w:ascii="Georgia"/>
          <w:sz w:val="26"/>
        </w:rPr>
      </w:pPr>
    </w:p>
    <w:p>
      <w:pPr>
        <w:pStyle w:val="BodyText"/>
        <w:spacing w:line="508" w:lineRule="auto"/>
        <w:ind w:left="119" w:right="107"/>
        <w:jc w:val="both"/>
        <w:rPr>
          <w:rFonts w:ascii="Georgia"/>
        </w:rPr>
      </w:pPr>
      <w:r>
        <w:rPr>
          <w:rFonts w:ascii="Georgia"/>
        </w:rPr>
        <w:t>The athlete's dirty urine was disposed of. The protected athlete's clean urine sample was adjusted for SG by the addition of table salt or distilled water. This step was necessary to ensure that the swapped clean sample had a SG that was as close as possible to the SG recorded on the DCF at the time the original sample was collected from the athlete.</w:t>
      </w:r>
    </w:p>
    <w:p>
      <w:pPr>
        <w:pStyle w:val="BodyText"/>
        <w:rPr>
          <w:rFonts w:ascii="Georgia"/>
        </w:rPr>
      </w:pPr>
    </w:p>
    <w:p>
      <w:pPr>
        <w:pStyle w:val="BodyText"/>
        <w:rPr>
          <w:rFonts w:ascii="Georgia"/>
        </w:rPr>
      </w:pPr>
    </w:p>
    <w:p>
      <w:pPr>
        <w:pStyle w:val="ListParagraph"/>
        <w:numPr>
          <w:ilvl w:val="2"/>
          <w:numId w:val="22"/>
        </w:numPr>
        <w:tabs>
          <w:tab w:pos="658" w:val="left" w:leader="none"/>
        </w:tabs>
        <w:spacing w:line="240" w:lineRule="auto" w:before="208" w:after="0"/>
        <w:ind w:left="657" w:right="0" w:hanging="538"/>
        <w:jc w:val="both"/>
        <w:rPr>
          <w:rFonts w:ascii="Palatino Linotype"/>
          <w:sz w:val="24"/>
        </w:rPr>
      </w:pPr>
      <w:r>
        <w:rPr>
          <w:rFonts w:ascii="Palatino Linotype"/>
          <w:w w:val="105"/>
          <w:sz w:val="24"/>
        </w:rPr>
        <w:t>Swapped</w:t>
      </w:r>
      <w:r>
        <w:rPr>
          <w:rFonts w:ascii="Palatino Linotype"/>
          <w:spacing w:val="-19"/>
          <w:w w:val="105"/>
          <w:sz w:val="24"/>
        </w:rPr>
        <w:t> </w:t>
      </w:r>
      <w:r>
        <w:rPr>
          <w:rFonts w:ascii="Georgia"/>
          <w:i/>
          <w:w w:val="105"/>
          <w:sz w:val="24"/>
        </w:rPr>
        <w:t>S</w:t>
      </w:r>
      <w:r>
        <w:rPr>
          <w:rFonts w:ascii="Palatino Linotype"/>
          <w:w w:val="105"/>
          <w:sz w:val="24"/>
        </w:rPr>
        <w:t>ample</w:t>
      </w:r>
      <w:r>
        <w:rPr>
          <w:rFonts w:ascii="Palatino Linotype"/>
          <w:spacing w:val="-20"/>
          <w:w w:val="105"/>
          <w:sz w:val="24"/>
        </w:rPr>
        <w:t> </w:t>
      </w:r>
      <w:r>
        <w:rPr>
          <w:rFonts w:ascii="Georgia"/>
          <w:i/>
          <w:w w:val="105"/>
          <w:sz w:val="24"/>
        </w:rPr>
        <w:t>R</w:t>
      </w:r>
      <w:r>
        <w:rPr>
          <w:rFonts w:ascii="Palatino Linotype"/>
          <w:w w:val="105"/>
          <w:sz w:val="24"/>
        </w:rPr>
        <w:t>eturn</w:t>
      </w:r>
      <w:r>
        <w:rPr>
          <w:rFonts w:ascii="Palatino Linotype"/>
          <w:spacing w:val="-21"/>
          <w:w w:val="105"/>
          <w:sz w:val="24"/>
        </w:rPr>
        <w:t> </w:t>
      </w:r>
      <w:r>
        <w:rPr>
          <w:rFonts w:ascii="Palatino Linotype"/>
          <w:w w:val="105"/>
          <w:sz w:val="24"/>
        </w:rPr>
        <w:t>to</w:t>
      </w:r>
      <w:r>
        <w:rPr>
          <w:rFonts w:ascii="Palatino Linotype"/>
          <w:spacing w:val="-23"/>
          <w:w w:val="105"/>
          <w:sz w:val="24"/>
        </w:rPr>
        <w:t> </w:t>
      </w:r>
      <w:r>
        <w:rPr>
          <w:rFonts w:ascii="Palatino Linotype"/>
          <w:w w:val="105"/>
          <w:sz w:val="24"/>
        </w:rPr>
        <w:t>the</w:t>
      </w:r>
      <w:r>
        <w:rPr>
          <w:rFonts w:ascii="Palatino Linotype"/>
          <w:spacing w:val="-21"/>
          <w:w w:val="105"/>
          <w:sz w:val="24"/>
        </w:rPr>
        <w:t> </w:t>
      </w:r>
      <w:r>
        <w:rPr>
          <w:rFonts w:ascii="Georgia"/>
          <w:i/>
          <w:w w:val="105"/>
          <w:sz w:val="24"/>
        </w:rPr>
        <w:t>A</w:t>
      </w:r>
      <w:r>
        <w:rPr>
          <w:rFonts w:ascii="Palatino Linotype"/>
          <w:w w:val="105"/>
          <w:sz w:val="24"/>
        </w:rPr>
        <w:t>liquoting</w:t>
      </w:r>
      <w:r>
        <w:rPr>
          <w:rFonts w:ascii="Palatino Linotype"/>
          <w:spacing w:val="-21"/>
          <w:w w:val="105"/>
          <w:sz w:val="24"/>
        </w:rPr>
        <w:t> </w:t>
      </w:r>
      <w:r>
        <w:rPr>
          <w:rFonts w:ascii="Georgia"/>
          <w:i/>
          <w:w w:val="105"/>
          <w:sz w:val="24"/>
        </w:rPr>
        <w:t>R</w:t>
      </w:r>
      <w:r>
        <w:rPr>
          <w:rFonts w:ascii="Palatino Linotype"/>
          <w:w w:val="105"/>
          <w:sz w:val="24"/>
        </w:rPr>
        <w:t>oom</w:t>
      </w:r>
    </w:p>
    <w:p>
      <w:pPr>
        <w:pStyle w:val="BodyText"/>
        <w:rPr>
          <w:rFonts w:ascii="Palatino Linotype"/>
        </w:rPr>
      </w:pPr>
    </w:p>
    <w:p>
      <w:pPr>
        <w:pStyle w:val="BodyText"/>
        <w:spacing w:before="1"/>
        <w:rPr>
          <w:rFonts w:ascii="Palatino Linotype"/>
          <w:sz w:val="29"/>
        </w:rPr>
      </w:pPr>
    </w:p>
    <w:p>
      <w:pPr>
        <w:pStyle w:val="BodyText"/>
        <w:spacing w:line="511" w:lineRule="auto"/>
        <w:ind w:left="119" w:right="105"/>
        <w:jc w:val="both"/>
        <w:rPr>
          <w:rFonts w:ascii="Georgia"/>
        </w:rPr>
      </w:pPr>
      <w:r>
        <w:rPr>
          <w:rFonts w:ascii="Georgia"/>
        </w:rPr>
        <w:t>After any adjustments to the clean sample were made, the caps would  be  replaced</w:t>
      </w:r>
      <w:r>
        <w:rPr>
          <w:rFonts w:ascii="Georgia"/>
          <w:spacing w:val="51"/>
        </w:rPr>
        <w:t> </w:t>
      </w:r>
      <w:r>
        <w:rPr>
          <w:rFonts w:ascii="Georgia"/>
        </w:rPr>
        <w:t>on</w:t>
      </w:r>
      <w:r>
        <w:rPr>
          <w:rFonts w:ascii="Georgia"/>
          <w:spacing w:val="50"/>
        </w:rPr>
        <w:t> </w:t>
      </w:r>
      <w:r>
        <w:rPr>
          <w:rFonts w:ascii="Georgia"/>
        </w:rPr>
        <w:t>the</w:t>
      </w:r>
      <w:r>
        <w:rPr>
          <w:rFonts w:ascii="Georgia"/>
          <w:spacing w:val="47"/>
        </w:rPr>
        <w:t> </w:t>
      </w:r>
      <w:r>
        <w:rPr>
          <w:rFonts w:ascii="Georgia"/>
        </w:rPr>
        <w:t>B</w:t>
      </w:r>
      <w:r>
        <w:rPr>
          <w:rFonts w:ascii="Georgia"/>
          <w:spacing w:val="50"/>
        </w:rPr>
        <w:t> </w:t>
      </w:r>
      <w:r>
        <w:rPr>
          <w:rFonts w:ascii="Georgia"/>
        </w:rPr>
        <w:t>bottles</w:t>
      </w:r>
      <w:r>
        <w:rPr>
          <w:rFonts w:ascii="Georgia"/>
          <w:spacing w:val="47"/>
        </w:rPr>
        <w:t> </w:t>
      </w:r>
      <w:r>
        <w:rPr>
          <w:rFonts w:ascii="Georgia"/>
        </w:rPr>
        <w:t>and</w:t>
      </w:r>
      <w:r>
        <w:rPr>
          <w:rFonts w:ascii="Georgia"/>
          <w:spacing w:val="50"/>
        </w:rPr>
        <w:t> </w:t>
      </w:r>
      <w:r>
        <w:rPr>
          <w:rFonts w:ascii="Georgia"/>
        </w:rPr>
        <w:t>the</w:t>
      </w:r>
      <w:r>
        <w:rPr>
          <w:rFonts w:ascii="Georgia"/>
          <w:spacing w:val="47"/>
        </w:rPr>
        <w:t> </w:t>
      </w:r>
      <w:r>
        <w:rPr>
          <w:rFonts w:ascii="Georgia"/>
        </w:rPr>
        <w:t>A</w:t>
      </w:r>
      <w:r>
        <w:rPr>
          <w:rFonts w:ascii="Georgia"/>
          <w:spacing w:val="50"/>
        </w:rPr>
        <w:t> </w:t>
      </w:r>
      <w:r>
        <w:rPr>
          <w:rFonts w:ascii="Georgia"/>
        </w:rPr>
        <w:t>and</w:t>
      </w:r>
      <w:r>
        <w:rPr>
          <w:rFonts w:ascii="Georgia"/>
          <w:spacing w:val="50"/>
        </w:rPr>
        <w:t> </w:t>
      </w:r>
      <w:r>
        <w:rPr>
          <w:rFonts w:ascii="Georgia"/>
        </w:rPr>
        <w:t>B</w:t>
      </w:r>
      <w:r>
        <w:rPr>
          <w:rFonts w:ascii="Georgia"/>
          <w:spacing w:val="47"/>
        </w:rPr>
        <w:t> </w:t>
      </w:r>
      <w:r>
        <w:rPr>
          <w:rFonts w:ascii="Georgia"/>
        </w:rPr>
        <w:t>bottles</w:t>
      </w:r>
      <w:r>
        <w:rPr>
          <w:rFonts w:ascii="Georgia"/>
          <w:spacing w:val="50"/>
        </w:rPr>
        <w:t> </w:t>
      </w:r>
      <w:r>
        <w:rPr>
          <w:rFonts w:ascii="Georgia"/>
        </w:rPr>
        <w:t>for</w:t>
      </w:r>
      <w:r>
        <w:rPr>
          <w:rFonts w:ascii="Georgia"/>
          <w:spacing w:val="54"/>
        </w:rPr>
        <w:t> </w:t>
      </w:r>
      <w:r>
        <w:rPr>
          <w:rFonts w:ascii="Georgia"/>
        </w:rPr>
        <w:t>each</w:t>
      </w:r>
      <w:r>
        <w:rPr>
          <w:rFonts w:ascii="Georgia"/>
          <w:spacing w:val="50"/>
        </w:rPr>
        <w:t> </w:t>
      </w:r>
      <w:r>
        <w:rPr>
          <w:rFonts w:ascii="Georgia"/>
        </w:rPr>
        <w:t>athlete</w:t>
      </w:r>
      <w:r>
        <w:rPr>
          <w:rFonts w:ascii="Georgia"/>
          <w:spacing w:val="47"/>
        </w:rPr>
        <w:t> </w:t>
      </w:r>
      <w:r>
        <w:rPr>
          <w:rFonts w:ascii="Georgia"/>
        </w:rPr>
        <w:t>would</w:t>
      </w:r>
      <w:r>
        <w:rPr>
          <w:rFonts w:ascii="Georgia"/>
          <w:spacing w:val="48"/>
        </w:rPr>
        <w:t> </w:t>
      </w:r>
      <w:r>
        <w:rPr>
          <w:rFonts w:ascii="Georgia"/>
        </w:rPr>
        <w:t>be</w:t>
      </w:r>
    </w:p>
    <w:p>
      <w:pPr>
        <w:pStyle w:val="BodyText"/>
        <w:rPr>
          <w:rFonts w:ascii="Georgia"/>
          <w:sz w:val="20"/>
        </w:rPr>
      </w:pPr>
    </w:p>
    <w:p>
      <w:pPr>
        <w:pStyle w:val="BodyText"/>
        <w:rPr>
          <w:rFonts w:ascii="Georgia"/>
          <w:sz w:val="20"/>
        </w:rPr>
      </w:pPr>
    </w:p>
    <w:p>
      <w:pPr>
        <w:pStyle w:val="BodyText"/>
        <w:spacing w:before="9"/>
        <w:rPr>
          <w:rFonts w:ascii="Georgia"/>
          <w:sz w:val="11"/>
        </w:rPr>
      </w:pPr>
      <w:r>
        <w:rPr/>
        <w:pict>
          <v:group style="position:absolute;margin-left:510.600006pt;margin-top:8.677249pt;width:11.55pt;height:8.2pt;mso-position-horizontal-relative:page;mso-position-vertical-relative:paragraph;z-index:1768;mso-wrap-distance-left:0;mso-wrap-distance-right:0" coordorigin="10212,174" coordsize="231,164">
            <v:shape style="position:absolute;left:10212;top:176;width:103;height:161" type="#_x0000_t75" stroked="false">
              <v:imagedata r:id="rId132" o:title=""/>
            </v:shape>
            <v:shape style="position:absolute;left:10346;top:174;width:96;height:164" coordorigin="10346,174" coordsize="96,164" path="m10442,327l10354,327,10354,337,10442,337,10442,327xm10423,325l10373,325,10370,327,10428,327,10423,325xm10409,202l10385,202,10387,205,10387,318,10380,325,10418,325,10416,322,10414,322,10414,320,10411,320,10411,315,10409,313,10409,202xm10411,174l10404,174,10346,207,10354,217,10358,212,10366,207,10375,202,10409,202,10409,181,10411,174xe" filled="true" fillcolor="#000000" stroked="false">
              <v:path arrowok="t"/>
              <v:fill type="solid"/>
            </v:shape>
            <w10:wrap type="topAndBottom"/>
          </v:group>
        </w:pict>
      </w:r>
    </w:p>
    <w:p>
      <w:pPr>
        <w:spacing w:after="0"/>
        <w:rPr>
          <w:rFonts w:ascii="Georgia"/>
          <w:sz w:val="11"/>
        </w:rPr>
        <w:sectPr>
          <w:footerReference w:type="default" r:id="rId131"/>
          <w:pgSz w:w="12240" w:h="15840"/>
          <w:pgMar w:footer="0" w:header="0" w:top="1500" w:bottom="280" w:left="1700" w:right="1680"/>
        </w:sectPr>
      </w:pPr>
    </w:p>
    <w:p>
      <w:pPr>
        <w:pStyle w:val="BodyText"/>
        <w:spacing w:line="508" w:lineRule="auto" w:before="20"/>
        <w:ind w:left="119" w:right="109"/>
        <w:jc w:val="both"/>
        <w:rPr>
          <w:rFonts w:ascii="Georgia"/>
        </w:rPr>
      </w:pPr>
      <w:r>
        <w:rPr>
          <w:rFonts w:ascii="Georgia"/>
        </w:rPr>
        <w:t>passed back through the mouse hole in the wall.  The bottles would be received   in the aliquoting room. The standard laboratory procedure was later conducted on the swapped samples as with all other</w:t>
      </w:r>
      <w:r>
        <w:rPr>
          <w:rFonts w:ascii="Georgia"/>
          <w:spacing w:val="31"/>
        </w:rPr>
        <w:t> </w:t>
      </w:r>
      <w:r>
        <w:rPr>
          <w:rFonts w:ascii="Georgia"/>
        </w:rPr>
        <w:t>samples.</w:t>
      </w:r>
    </w:p>
    <w:p>
      <w:pPr>
        <w:pStyle w:val="BodyText"/>
        <w:rPr>
          <w:rFonts w:ascii="Georgia"/>
        </w:rPr>
      </w:pPr>
    </w:p>
    <w:p>
      <w:pPr>
        <w:pStyle w:val="BodyText"/>
        <w:rPr>
          <w:rFonts w:ascii="Georgia"/>
        </w:rPr>
      </w:pPr>
    </w:p>
    <w:p>
      <w:pPr>
        <w:pStyle w:val="ListParagraph"/>
        <w:numPr>
          <w:ilvl w:val="1"/>
          <w:numId w:val="23"/>
        </w:numPr>
        <w:tabs>
          <w:tab w:pos="479" w:val="left" w:leader="none"/>
        </w:tabs>
        <w:spacing w:line="240" w:lineRule="auto" w:before="197" w:after="0"/>
        <w:ind w:left="478" w:right="0" w:hanging="359"/>
        <w:jc w:val="both"/>
        <w:rPr>
          <w:rFonts w:ascii="Palatino Linotype"/>
          <w:sz w:val="24"/>
        </w:rPr>
      </w:pPr>
      <w:r>
        <w:rPr>
          <w:rFonts w:ascii="Palatino Linotype"/>
          <w:w w:val="105"/>
          <w:sz w:val="24"/>
        </w:rPr>
        <w:t>Results of the Sochi</w:t>
      </w:r>
      <w:r>
        <w:rPr>
          <w:rFonts w:ascii="Palatino Linotype"/>
          <w:spacing w:val="-36"/>
          <w:w w:val="105"/>
          <w:sz w:val="24"/>
        </w:rPr>
        <w:t> </w:t>
      </w:r>
      <w:r>
        <w:rPr>
          <w:rFonts w:ascii="Palatino Linotype"/>
          <w:w w:val="105"/>
          <w:sz w:val="24"/>
        </w:rPr>
        <w:t>Investigation</w:t>
      </w:r>
    </w:p>
    <w:p>
      <w:pPr>
        <w:pStyle w:val="BodyText"/>
        <w:spacing w:before="1"/>
        <w:rPr>
          <w:rFonts w:ascii="Palatino Linotype"/>
          <w:sz w:val="34"/>
        </w:rPr>
      </w:pPr>
    </w:p>
    <w:p>
      <w:pPr>
        <w:pStyle w:val="ListParagraph"/>
        <w:numPr>
          <w:ilvl w:val="2"/>
          <w:numId w:val="23"/>
        </w:numPr>
        <w:tabs>
          <w:tab w:pos="659" w:val="left" w:leader="none"/>
        </w:tabs>
        <w:spacing w:line="240" w:lineRule="auto" w:before="0" w:after="0"/>
        <w:ind w:left="658" w:right="0" w:hanging="539"/>
        <w:jc w:val="both"/>
        <w:rPr>
          <w:rFonts w:ascii="Palatino Linotype"/>
          <w:sz w:val="24"/>
        </w:rPr>
      </w:pPr>
      <w:r>
        <w:rPr>
          <w:rFonts w:ascii="Palatino Linotype"/>
          <w:w w:val="105"/>
          <w:sz w:val="24"/>
        </w:rPr>
        <w:t>Bottle</w:t>
      </w:r>
      <w:r>
        <w:rPr>
          <w:rFonts w:ascii="Palatino Linotype"/>
          <w:spacing w:val="-29"/>
          <w:w w:val="105"/>
          <w:sz w:val="24"/>
        </w:rPr>
        <w:t> </w:t>
      </w:r>
      <w:r>
        <w:rPr>
          <w:rFonts w:ascii="Palatino Linotype"/>
          <w:w w:val="105"/>
          <w:sz w:val="24"/>
        </w:rPr>
        <w:t>Tampering</w:t>
      </w:r>
      <w:r>
        <w:rPr>
          <w:rFonts w:ascii="Palatino Linotype"/>
          <w:spacing w:val="-27"/>
          <w:w w:val="105"/>
          <w:sz w:val="24"/>
        </w:rPr>
        <w:t> </w:t>
      </w:r>
      <w:r>
        <w:rPr>
          <w:rFonts w:ascii="Palatino Linotype"/>
          <w:w w:val="105"/>
          <w:sz w:val="24"/>
        </w:rPr>
        <w:t>Analysis</w:t>
      </w:r>
    </w:p>
    <w:p>
      <w:pPr>
        <w:pStyle w:val="BodyText"/>
        <w:rPr>
          <w:rFonts w:ascii="Palatino Linotype"/>
        </w:rPr>
      </w:pPr>
    </w:p>
    <w:p>
      <w:pPr>
        <w:pStyle w:val="BodyText"/>
        <w:spacing w:before="5"/>
        <w:rPr>
          <w:rFonts w:ascii="Palatino Linotype"/>
          <w:sz w:val="29"/>
        </w:rPr>
      </w:pPr>
    </w:p>
    <w:p>
      <w:pPr>
        <w:pStyle w:val="BodyText"/>
        <w:spacing w:line="508" w:lineRule="auto" w:before="1"/>
        <w:ind w:left="119" w:right="108"/>
        <w:jc w:val="both"/>
        <w:rPr>
          <w:rFonts w:ascii="Georgia"/>
        </w:rPr>
      </w:pPr>
      <w:r>
        <w:rPr>
          <w:rFonts w:ascii="Georgia"/>
        </w:rPr>
        <w:t>Using the spreadsheet of the protected athletes, certain Russian medal winners identified by the IP and other information provided by Dr. Rodchenkov, the IP developed a list of 95 urine samples for further analysis as directed by the IP. These samples were removed from the Lausanne Laboratory where they were stored after the Sochi Games and transported to the London Laboratory.</w:t>
      </w:r>
    </w:p>
    <w:p>
      <w:pPr>
        <w:pStyle w:val="BodyText"/>
        <w:rPr>
          <w:rFonts w:ascii="Georgia"/>
        </w:rPr>
      </w:pPr>
    </w:p>
    <w:p>
      <w:pPr>
        <w:pStyle w:val="BodyText"/>
        <w:spacing w:before="10"/>
        <w:rPr>
          <w:rFonts w:ascii="Georgia"/>
          <w:sz w:val="26"/>
        </w:rPr>
      </w:pPr>
    </w:p>
    <w:p>
      <w:pPr>
        <w:pStyle w:val="BodyText"/>
        <w:spacing w:line="508" w:lineRule="auto"/>
        <w:ind w:left="119" w:right="109"/>
        <w:jc w:val="both"/>
        <w:rPr>
          <w:rFonts w:ascii="Georgia"/>
        </w:rPr>
      </w:pPr>
      <w:r>
        <w:rPr>
          <w:rFonts w:ascii="Georgia"/>
        </w:rPr>
        <w:t>A representative set of 11 B bottles was randomly selected for examination by the IP scratches and marks expert. The expert confirmed that all 11 samples had scratches and marks on the inside of the bottle caps representative of the use of a tool used to open the cap. Thus, of the representative set of samples that the IP suspected of having been swapped, 100% of the bottles have evidence of tampering.</w:t>
      </w:r>
    </w:p>
    <w:p>
      <w:pPr>
        <w:pStyle w:val="BodyText"/>
        <w:rPr>
          <w:rFonts w:ascii="Georgia"/>
        </w:rPr>
      </w:pPr>
    </w:p>
    <w:p>
      <w:pPr>
        <w:pStyle w:val="BodyText"/>
        <w:spacing w:before="10"/>
        <w:rPr>
          <w:rFonts w:ascii="Georgia"/>
          <w:sz w:val="26"/>
        </w:rPr>
      </w:pPr>
    </w:p>
    <w:p>
      <w:pPr>
        <w:pStyle w:val="BodyText"/>
        <w:spacing w:line="511" w:lineRule="auto"/>
        <w:ind w:left="119" w:right="106"/>
        <w:jc w:val="both"/>
        <w:rPr>
          <w:rFonts w:ascii="Georgia"/>
        </w:rPr>
      </w:pPr>
      <w:r>
        <w:rPr>
          <w:rFonts w:ascii="Georgia"/>
        </w:rPr>
        <w:t>The IP was able to verify that the bottles were not counterfeit. The scratches and marks  expert  also  demonstrated,  in  the  presence  of  the  Professor      Richard</w:t>
      </w:r>
    </w:p>
    <w:p>
      <w:pPr>
        <w:spacing w:after="0" w:line="511" w:lineRule="auto"/>
        <w:jc w:val="both"/>
        <w:rPr>
          <w:rFonts w:ascii="Georgia"/>
        </w:rPr>
        <w:sectPr>
          <w:footerReference w:type="default" r:id="rId133"/>
          <w:pgSz w:w="12240" w:h="15840"/>
          <w:pgMar w:footer="705" w:header="0" w:top="1440" w:bottom="900" w:left="1700" w:right="1680"/>
        </w:sectPr>
      </w:pPr>
    </w:p>
    <w:p>
      <w:pPr>
        <w:pStyle w:val="BodyText"/>
        <w:spacing w:line="508" w:lineRule="auto" w:before="20"/>
        <w:ind w:left="119" w:right="108"/>
        <w:jc w:val="both"/>
        <w:rPr>
          <w:rFonts w:ascii="Georgia"/>
        </w:rPr>
      </w:pPr>
      <w:r>
        <w:rPr>
          <w:rFonts w:ascii="Georgia"/>
        </w:rPr>
        <w:t>McLaren, how to assess that scratches and marks were indeed on the inside of  the caps by observing the difference in depth between the outside and inside of the cap through the</w:t>
      </w:r>
      <w:r>
        <w:rPr>
          <w:rFonts w:ascii="Georgia"/>
          <w:spacing w:val="-19"/>
        </w:rPr>
        <w:t> </w:t>
      </w:r>
      <w:r>
        <w:rPr>
          <w:rFonts w:ascii="Georgia"/>
        </w:rPr>
        <w:t>microscope.</w:t>
      </w:r>
    </w:p>
    <w:p>
      <w:pPr>
        <w:pStyle w:val="BodyText"/>
        <w:rPr>
          <w:rFonts w:ascii="Georgia"/>
        </w:rPr>
      </w:pPr>
    </w:p>
    <w:p>
      <w:pPr>
        <w:pStyle w:val="BodyText"/>
        <w:spacing w:before="10"/>
        <w:rPr>
          <w:rFonts w:ascii="Georgia"/>
          <w:sz w:val="26"/>
        </w:rPr>
      </w:pPr>
    </w:p>
    <w:p>
      <w:pPr>
        <w:pStyle w:val="BodyText"/>
        <w:spacing w:line="511" w:lineRule="auto"/>
        <w:ind w:left="119" w:right="106"/>
        <w:jc w:val="both"/>
        <w:rPr>
          <w:rFonts w:ascii="Georgia"/>
        </w:rPr>
      </w:pPr>
      <w:r>
        <w:rPr>
          <w:rFonts w:ascii="Georgia"/>
        </w:rPr>
        <w:t>The IP investigators were not able to confirm the presence of Dr. Rodchenkov's fingerprints or DNA on any of the B sample bottles.</w:t>
      </w:r>
    </w:p>
    <w:p>
      <w:pPr>
        <w:pStyle w:val="BodyText"/>
        <w:rPr>
          <w:rFonts w:ascii="Georgia"/>
        </w:rPr>
      </w:pPr>
    </w:p>
    <w:p>
      <w:pPr>
        <w:pStyle w:val="BodyText"/>
        <w:rPr>
          <w:rFonts w:ascii="Georgia"/>
        </w:rPr>
      </w:pPr>
    </w:p>
    <w:p>
      <w:pPr>
        <w:pStyle w:val="BodyText"/>
        <w:spacing w:before="3"/>
        <w:rPr>
          <w:rFonts w:ascii="Georgia"/>
          <w:sz w:val="22"/>
        </w:rPr>
      </w:pPr>
    </w:p>
    <w:p>
      <w:pPr>
        <w:pStyle w:val="ListParagraph"/>
        <w:numPr>
          <w:ilvl w:val="3"/>
          <w:numId w:val="23"/>
        </w:numPr>
        <w:tabs>
          <w:tab w:pos="839" w:val="left" w:leader="none"/>
        </w:tabs>
        <w:spacing w:line="240" w:lineRule="auto" w:before="0" w:after="0"/>
        <w:ind w:left="838" w:right="0" w:hanging="719"/>
        <w:jc w:val="both"/>
        <w:rPr>
          <w:rFonts w:ascii="Palatino Linotype"/>
          <w:sz w:val="24"/>
        </w:rPr>
      </w:pPr>
      <w:r>
        <w:rPr>
          <w:rFonts w:ascii="Palatino Linotype"/>
          <w:w w:val="105"/>
          <w:sz w:val="24"/>
        </w:rPr>
        <w:t>IP</w:t>
      </w:r>
      <w:r>
        <w:rPr>
          <w:rFonts w:ascii="Palatino Linotype"/>
          <w:spacing w:val="-18"/>
          <w:w w:val="105"/>
          <w:sz w:val="24"/>
        </w:rPr>
        <w:t> </w:t>
      </w:r>
      <w:r>
        <w:rPr>
          <w:rFonts w:ascii="Palatino Linotype"/>
          <w:w w:val="105"/>
          <w:sz w:val="24"/>
        </w:rPr>
        <w:t>Findings</w:t>
      </w:r>
    </w:p>
    <w:p>
      <w:pPr>
        <w:pStyle w:val="BodyText"/>
        <w:rPr>
          <w:rFonts w:ascii="Palatino Linotype"/>
        </w:rPr>
      </w:pPr>
    </w:p>
    <w:p>
      <w:pPr>
        <w:pStyle w:val="BodyText"/>
        <w:spacing w:before="5"/>
        <w:rPr>
          <w:rFonts w:ascii="Palatino Linotype"/>
          <w:sz w:val="29"/>
        </w:rPr>
      </w:pPr>
    </w:p>
    <w:p>
      <w:pPr>
        <w:pStyle w:val="ListParagraph"/>
        <w:numPr>
          <w:ilvl w:val="4"/>
          <w:numId w:val="23"/>
        </w:numPr>
        <w:tabs>
          <w:tab w:pos="840" w:val="left" w:leader="none"/>
        </w:tabs>
        <w:spacing w:line="508" w:lineRule="auto" w:before="1" w:after="0"/>
        <w:ind w:left="839" w:right="106" w:hanging="360"/>
        <w:jc w:val="both"/>
        <w:rPr>
          <w:rFonts w:ascii="Georgia"/>
          <w:sz w:val="24"/>
        </w:rPr>
      </w:pPr>
      <w:r>
        <w:rPr>
          <w:rFonts w:ascii="Georgia"/>
          <w:sz w:val="24"/>
        </w:rPr>
        <w:t>The precise method used by the FSB to open the Sochi sample bottles is unknown. The IP experts conclusively established that the caps can be removed and reused</w:t>
      </w:r>
      <w:r>
        <w:rPr>
          <w:rFonts w:ascii="Georgia"/>
          <w:spacing w:val="9"/>
          <w:sz w:val="24"/>
        </w:rPr>
        <w:t> </w:t>
      </w:r>
      <w:r>
        <w:rPr>
          <w:rFonts w:ascii="Georgia"/>
          <w:sz w:val="24"/>
        </w:rPr>
        <w:t>later.</w:t>
      </w:r>
    </w:p>
    <w:p>
      <w:pPr>
        <w:pStyle w:val="BodyText"/>
        <w:rPr>
          <w:rFonts w:ascii="Georgia"/>
        </w:rPr>
      </w:pPr>
    </w:p>
    <w:p>
      <w:pPr>
        <w:pStyle w:val="BodyText"/>
        <w:spacing w:before="10"/>
        <w:rPr>
          <w:rFonts w:ascii="Georgia"/>
          <w:sz w:val="26"/>
        </w:rPr>
      </w:pPr>
    </w:p>
    <w:p>
      <w:pPr>
        <w:pStyle w:val="ListParagraph"/>
        <w:numPr>
          <w:ilvl w:val="4"/>
          <w:numId w:val="23"/>
        </w:numPr>
        <w:tabs>
          <w:tab w:pos="840" w:val="left" w:leader="none"/>
        </w:tabs>
        <w:spacing w:line="511" w:lineRule="auto" w:before="0" w:after="0"/>
        <w:ind w:left="839" w:right="109" w:hanging="360"/>
        <w:jc w:val="both"/>
        <w:rPr>
          <w:rFonts w:ascii="Georgia"/>
          <w:sz w:val="24"/>
        </w:rPr>
      </w:pPr>
      <w:r>
        <w:rPr>
          <w:rFonts w:ascii="Georgia"/>
          <w:sz w:val="24"/>
        </w:rPr>
        <w:t>Every sample bottle the IP investigation team examined revealed evidence of tampering consistent with the caps being removed and</w:t>
      </w:r>
      <w:r>
        <w:rPr>
          <w:rFonts w:ascii="Georgia"/>
          <w:spacing w:val="9"/>
          <w:sz w:val="24"/>
        </w:rPr>
        <w:t> </w:t>
      </w:r>
      <w:r>
        <w:rPr>
          <w:rFonts w:ascii="Georgia"/>
          <w:sz w:val="24"/>
        </w:rPr>
        <w:t>reused.</w:t>
      </w:r>
    </w:p>
    <w:p>
      <w:pPr>
        <w:pStyle w:val="BodyText"/>
        <w:rPr>
          <w:rFonts w:ascii="Georgia"/>
        </w:rPr>
      </w:pPr>
    </w:p>
    <w:p>
      <w:pPr>
        <w:pStyle w:val="BodyText"/>
        <w:spacing w:before="6"/>
        <w:rPr>
          <w:rFonts w:ascii="Georgia"/>
          <w:sz w:val="33"/>
        </w:rPr>
      </w:pPr>
    </w:p>
    <w:p>
      <w:pPr>
        <w:pStyle w:val="ListParagraph"/>
        <w:numPr>
          <w:ilvl w:val="2"/>
          <w:numId w:val="23"/>
        </w:numPr>
        <w:tabs>
          <w:tab w:pos="659" w:val="left" w:leader="none"/>
        </w:tabs>
        <w:spacing w:line="240" w:lineRule="auto" w:before="1" w:after="0"/>
        <w:ind w:left="658" w:right="0" w:hanging="539"/>
        <w:jc w:val="both"/>
        <w:rPr>
          <w:rFonts w:ascii="Palatino Linotype"/>
          <w:sz w:val="24"/>
        </w:rPr>
      </w:pPr>
      <w:r>
        <w:rPr>
          <w:rFonts w:ascii="Palatino Linotype"/>
          <w:w w:val="105"/>
          <w:sz w:val="24"/>
        </w:rPr>
        <w:t>Urine</w:t>
      </w:r>
      <w:r>
        <w:rPr>
          <w:rFonts w:ascii="Palatino Linotype"/>
          <w:spacing w:val="-32"/>
          <w:w w:val="105"/>
          <w:sz w:val="24"/>
        </w:rPr>
        <w:t> </w:t>
      </w:r>
      <w:r>
        <w:rPr>
          <w:rFonts w:ascii="Palatino Linotype"/>
          <w:w w:val="105"/>
          <w:sz w:val="24"/>
        </w:rPr>
        <w:t>Analysis</w:t>
      </w:r>
    </w:p>
    <w:p>
      <w:pPr>
        <w:pStyle w:val="BodyText"/>
        <w:rPr>
          <w:rFonts w:ascii="Palatino Linotype"/>
        </w:rPr>
      </w:pPr>
    </w:p>
    <w:p>
      <w:pPr>
        <w:pStyle w:val="BodyText"/>
        <w:spacing w:before="5"/>
        <w:rPr>
          <w:rFonts w:ascii="Palatino Linotype"/>
          <w:sz w:val="29"/>
        </w:rPr>
      </w:pPr>
    </w:p>
    <w:p>
      <w:pPr>
        <w:pStyle w:val="BodyText"/>
        <w:spacing w:line="508" w:lineRule="auto" w:before="1"/>
        <w:ind w:left="119" w:right="105"/>
        <w:jc w:val="both"/>
        <w:rPr>
          <w:rFonts w:ascii="Georgia"/>
        </w:rPr>
      </w:pPr>
      <w:r>
        <w:rPr>
          <w:rFonts w:ascii="Georgia"/>
        </w:rPr>
        <w:t>Dr. Rodchenkov's evidence was that dirty urine samples had been swapped with clean urine. To test this hypothesis, the IP selected 32 sample bottles based on their SG levels and/or the existence of scratches and marks for urine examination.</w:t>
      </w:r>
      <w:r>
        <w:rPr>
          <w:rFonts w:ascii="Georgia"/>
          <w:spacing w:val="37"/>
        </w:rPr>
        <w:t> </w:t>
      </w:r>
      <w:r>
        <w:rPr>
          <w:rFonts w:ascii="Georgia"/>
        </w:rPr>
        <w:t>This</w:t>
      </w:r>
      <w:r>
        <w:rPr>
          <w:rFonts w:ascii="Georgia"/>
          <w:spacing w:val="38"/>
        </w:rPr>
        <w:t> </w:t>
      </w:r>
      <w:r>
        <w:rPr>
          <w:rFonts w:ascii="Georgia"/>
        </w:rPr>
        <w:t>selection</w:t>
      </w:r>
      <w:r>
        <w:rPr>
          <w:rFonts w:ascii="Georgia"/>
          <w:spacing w:val="38"/>
        </w:rPr>
        <w:t> </w:t>
      </w:r>
      <w:r>
        <w:rPr>
          <w:rFonts w:ascii="Georgia"/>
        </w:rPr>
        <w:t>of</w:t>
      </w:r>
      <w:r>
        <w:rPr>
          <w:rFonts w:ascii="Georgia"/>
          <w:spacing w:val="38"/>
        </w:rPr>
        <w:t> </w:t>
      </w:r>
      <w:r>
        <w:rPr>
          <w:rFonts w:ascii="Georgia"/>
        </w:rPr>
        <w:t>samples</w:t>
      </w:r>
      <w:r>
        <w:rPr>
          <w:rFonts w:ascii="Georgia"/>
          <w:spacing w:val="36"/>
        </w:rPr>
        <w:t> </w:t>
      </w:r>
      <w:r>
        <w:rPr>
          <w:rFonts w:ascii="Georgia"/>
        </w:rPr>
        <w:t>for</w:t>
      </w:r>
      <w:r>
        <w:rPr>
          <w:rFonts w:ascii="Georgia"/>
          <w:spacing w:val="37"/>
        </w:rPr>
        <w:t> </w:t>
      </w:r>
      <w:r>
        <w:rPr>
          <w:rFonts w:ascii="Georgia"/>
        </w:rPr>
        <w:t>examination</w:t>
      </w:r>
      <w:r>
        <w:rPr>
          <w:rFonts w:ascii="Georgia"/>
          <w:spacing w:val="36"/>
        </w:rPr>
        <w:t> </w:t>
      </w:r>
      <w:r>
        <w:rPr>
          <w:rFonts w:ascii="Georgia"/>
        </w:rPr>
        <w:t>was</w:t>
      </w:r>
      <w:r>
        <w:rPr>
          <w:rFonts w:ascii="Georgia"/>
          <w:spacing w:val="38"/>
        </w:rPr>
        <w:t> </w:t>
      </w:r>
      <w:r>
        <w:rPr>
          <w:rFonts w:ascii="Georgia"/>
        </w:rPr>
        <w:t>carried</w:t>
      </w:r>
      <w:r>
        <w:rPr>
          <w:rFonts w:ascii="Georgia"/>
          <w:spacing w:val="36"/>
        </w:rPr>
        <w:t> </w:t>
      </w:r>
      <w:r>
        <w:rPr>
          <w:rFonts w:ascii="Georgia"/>
        </w:rPr>
        <w:t>out</w:t>
      </w:r>
      <w:r>
        <w:rPr>
          <w:rFonts w:ascii="Georgia"/>
          <w:spacing w:val="35"/>
        </w:rPr>
        <w:t> </w:t>
      </w:r>
      <w:r>
        <w:rPr>
          <w:rFonts w:ascii="Georgia"/>
        </w:rPr>
        <w:t>in</w:t>
      </w:r>
      <w:r>
        <w:rPr>
          <w:rFonts w:ascii="Georgia"/>
          <w:spacing w:val="36"/>
        </w:rPr>
        <w:t> </w:t>
      </w:r>
      <w:r>
        <w:rPr>
          <w:rFonts w:ascii="Georgia"/>
        </w:rPr>
        <w:t>the</w:t>
      </w:r>
    </w:p>
    <w:p>
      <w:pPr>
        <w:spacing w:after="0" w:line="508" w:lineRule="auto"/>
        <w:jc w:val="both"/>
        <w:rPr>
          <w:rFonts w:ascii="Georgia"/>
        </w:rPr>
        <w:sectPr>
          <w:pgSz w:w="12240" w:h="15840"/>
          <w:pgMar w:header="0" w:footer="705" w:top="1440" w:bottom="900" w:left="1700" w:right="1680"/>
        </w:sectPr>
      </w:pPr>
    </w:p>
    <w:p>
      <w:pPr>
        <w:pStyle w:val="BodyText"/>
        <w:spacing w:line="508" w:lineRule="auto" w:before="20"/>
        <w:ind w:left="119" w:right="106"/>
        <w:jc w:val="both"/>
        <w:rPr>
          <w:rFonts w:ascii="Georgia"/>
        </w:rPr>
      </w:pPr>
      <w:r>
        <w:rPr>
          <w:rFonts w:ascii="Georgia"/>
        </w:rPr>
        <w:t>presence of Beckie Scott Athletes' Representative on the WADA Foundation Board and Claudia Bokel, the Elected Athletes Representative to the IOC. They were asked to randomly select an additional 8 A samples for inclusion in the testing process.</w:t>
      </w:r>
    </w:p>
    <w:p>
      <w:pPr>
        <w:pStyle w:val="BodyText"/>
        <w:rPr>
          <w:rFonts w:ascii="Georgia"/>
        </w:rPr>
      </w:pPr>
    </w:p>
    <w:p>
      <w:pPr>
        <w:pStyle w:val="BodyText"/>
        <w:spacing w:before="10"/>
        <w:rPr>
          <w:rFonts w:ascii="Georgia"/>
          <w:sz w:val="26"/>
        </w:rPr>
      </w:pPr>
    </w:p>
    <w:p>
      <w:pPr>
        <w:pStyle w:val="BodyText"/>
        <w:spacing w:line="508" w:lineRule="auto"/>
        <w:ind w:left="119" w:right="107"/>
        <w:jc w:val="both"/>
        <w:rPr>
          <w:rFonts w:ascii="Georgia"/>
        </w:rPr>
      </w:pPr>
      <w:r>
        <w:rPr>
          <w:rFonts w:ascii="Georgia"/>
        </w:rPr>
        <w:t>The DCC analyzed these 40 A samples and found 6 to contain quantities of salt significantly exceeding the levels produced by the human body, absent a serious life threatening medical condition.</w:t>
      </w:r>
    </w:p>
    <w:p>
      <w:pPr>
        <w:pStyle w:val="BodyText"/>
        <w:rPr>
          <w:rFonts w:ascii="Georgia"/>
        </w:rPr>
      </w:pPr>
    </w:p>
    <w:p>
      <w:pPr>
        <w:pStyle w:val="BodyText"/>
        <w:spacing w:before="10"/>
        <w:rPr>
          <w:rFonts w:ascii="Georgia"/>
          <w:sz w:val="26"/>
        </w:rPr>
      </w:pPr>
    </w:p>
    <w:p>
      <w:pPr>
        <w:pStyle w:val="BodyText"/>
        <w:spacing w:line="508" w:lineRule="auto"/>
        <w:ind w:left="119" w:right="109"/>
        <w:jc w:val="both"/>
        <w:rPr>
          <w:rFonts w:ascii="Georgia"/>
        </w:rPr>
      </w:pPr>
      <w:r>
        <w:rPr>
          <w:rFonts w:ascii="Georgia"/>
        </w:rPr>
        <w:t>Of these 6 samples, two were amongst the B sample bottles that the IP's expert confirmed were tampered with. While the athletes' identities are being kept confidential at this stage, both were medal winners at Sochi.</w:t>
      </w:r>
    </w:p>
    <w:p>
      <w:pPr>
        <w:pStyle w:val="BodyText"/>
        <w:rPr>
          <w:rFonts w:ascii="Georgia"/>
        </w:rPr>
      </w:pPr>
    </w:p>
    <w:p>
      <w:pPr>
        <w:pStyle w:val="BodyText"/>
        <w:spacing w:before="10"/>
        <w:rPr>
          <w:rFonts w:ascii="Georgia"/>
          <w:sz w:val="26"/>
        </w:rPr>
      </w:pPr>
    </w:p>
    <w:p>
      <w:pPr>
        <w:pStyle w:val="BodyText"/>
        <w:spacing w:line="508" w:lineRule="auto"/>
        <w:ind w:left="119" w:right="107"/>
        <w:jc w:val="both"/>
        <w:rPr>
          <w:rFonts w:ascii="Georgia"/>
        </w:rPr>
      </w:pPr>
      <w:r>
        <w:rPr>
          <w:rFonts w:ascii="Georgia"/>
        </w:rPr>
        <w:t>In Chapter 3, it was explained that one individual athlete gave 3 samples of urine at Sochi and another sample in the Autumn of 2014 which was stored at the Moscow Laboratory and later removed by WADA. These 3 Sochi samples  had  the same DNA as expected, since Dr. Rodchenkov's evidence is that dirty Sochi samples were replaced with clean urine from the same athlete. However, the  DNA in the 2014 sample was found to come from a different person. This was consistent with Dr. Rodchenkov's evidence that the clean urine used to swap the 2014</w:t>
      </w:r>
      <w:r>
        <w:rPr>
          <w:rFonts w:ascii="Georgia"/>
          <w:spacing w:val="-11"/>
        </w:rPr>
        <w:t> </w:t>
      </w:r>
      <w:r>
        <w:rPr>
          <w:rFonts w:ascii="Georgia"/>
        </w:rPr>
        <w:t>samples</w:t>
      </w:r>
      <w:r>
        <w:rPr>
          <w:rFonts w:ascii="Georgia"/>
          <w:spacing w:val="-11"/>
        </w:rPr>
        <w:t> </w:t>
      </w:r>
      <w:r>
        <w:rPr>
          <w:rFonts w:ascii="Georgia"/>
        </w:rPr>
        <w:t>came</w:t>
      </w:r>
      <w:r>
        <w:rPr>
          <w:rFonts w:ascii="Georgia"/>
          <w:spacing w:val="-12"/>
        </w:rPr>
        <w:t> </w:t>
      </w:r>
      <w:r>
        <w:rPr>
          <w:rFonts w:ascii="Georgia"/>
        </w:rPr>
        <w:t>from</w:t>
      </w:r>
      <w:r>
        <w:rPr>
          <w:rFonts w:ascii="Georgia"/>
          <w:spacing w:val="-11"/>
        </w:rPr>
        <w:t> </w:t>
      </w:r>
      <w:r>
        <w:rPr>
          <w:rFonts w:ascii="Georgia"/>
        </w:rPr>
        <w:t>other</w:t>
      </w:r>
      <w:r>
        <w:rPr>
          <w:rFonts w:ascii="Georgia"/>
          <w:spacing w:val="-11"/>
        </w:rPr>
        <w:t> </w:t>
      </w:r>
      <w:r>
        <w:rPr>
          <w:rFonts w:ascii="Georgia"/>
        </w:rPr>
        <w:t>people.</w:t>
      </w:r>
    </w:p>
    <w:p>
      <w:pPr>
        <w:spacing w:after="0" w:line="508" w:lineRule="auto"/>
        <w:jc w:val="both"/>
        <w:rPr>
          <w:rFonts w:ascii="Georgia"/>
        </w:rPr>
        <w:sectPr>
          <w:pgSz w:w="12240" w:h="15840"/>
          <w:pgMar w:header="0" w:footer="705" w:top="1440" w:bottom="900" w:left="1700" w:right="1680"/>
        </w:sectPr>
      </w:pPr>
    </w:p>
    <w:p>
      <w:pPr>
        <w:pStyle w:val="ListParagraph"/>
        <w:numPr>
          <w:ilvl w:val="3"/>
          <w:numId w:val="24"/>
        </w:numPr>
        <w:tabs>
          <w:tab w:pos="839" w:val="left" w:leader="none"/>
        </w:tabs>
        <w:spacing w:line="312" w:lineRule="exact" w:before="0" w:after="0"/>
        <w:ind w:left="838" w:right="0" w:hanging="719"/>
        <w:jc w:val="left"/>
        <w:rPr>
          <w:rFonts w:ascii="Palatino Linotype"/>
          <w:sz w:val="24"/>
        </w:rPr>
      </w:pPr>
      <w:r>
        <w:rPr>
          <w:rFonts w:ascii="Palatino Linotype"/>
          <w:w w:val="105"/>
          <w:sz w:val="24"/>
        </w:rPr>
        <w:t>IP</w:t>
      </w:r>
      <w:r>
        <w:rPr>
          <w:rFonts w:ascii="Palatino Linotype"/>
          <w:spacing w:val="-21"/>
          <w:w w:val="105"/>
          <w:sz w:val="24"/>
        </w:rPr>
        <w:t> </w:t>
      </w:r>
      <w:r>
        <w:rPr>
          <w:rFonts w:ascii="Palatino Linotype"/>
          <w:w w:val="105"/>
          <w:sz w:val="24"/>
        </w:rPr>
        <w:t>Findings</w:t>
      </w:r>
    </w:p>
    <w:p>
      <w:pPr>
        <w:pStyle w:val="BodyText"/>
        <w:rPr>
          <w:rFonts w:ascii="Palatino Linotype"/>
        </w:rPr>
      </w:pPr>
    </w:p>
    <w:p>
      <w:pPr>
        <w:pStyle w:val="BodyText"/>
        <w:spacing w:before="5"/>
        <w:rPr>
          <w:rFonts w:ascii="Palatino Linotype"/>
          <w:sz w:val="29"/>
        </w:rPr>
      </w:pPr>
    </w:p>
    <w:p>
      <w:pPr>
        <w:pStyle w:val="ListParagraph"/>
        <w:numPr>
          <w:ilvl w:val="4"/>
          <w:numId w:val="24"/>
        </w:numPr>
        <w:tabs>
          <w:tab w:pos="841" w:val="left" w:leader="none"/>
        </w:tabs>
        <w:spacing w:line="508" w:lineRule="auto" w:before="1" w:after="0"/>
        <w:ind w:left="839" w:right="109" w:hanging="360"/>
        <w:jc w:val="both"/>
        <w:rPr>
          <w:rFonts w:ascii="Georgia"/>
          <w:sz w:val="24"/>
        </w:rPr>
      </w:pPr>
      <w:r>
        <w:rPr>
          <w:rFonts w:ascii="Georgia"/>
          <w:sz w:val="24"/>
        </w:rPr>
        <w:t>The Laboratory analytical analysis has established that some samples had salt levels in excess of what can be found in a healthy human urine analysis, thereby confirming interview evidence that salt had been</w:t>
      </w:r>
      <w:r>
        <w:rPr>
          <w:rFonts w:ascii="Georgia"/>
          <w:spacing w:val="21"/>
          <w:sz w:val="24"/>
        </w:rPr>
        <w:t> </w:t>
      </w:r>
      <w:r>
        <w:rPr>
          <w:rFonts w:ascii="Georgia"/>
          <w:sz w:val="24"/>
        </w:rPr>
        <w:t>added.</w:t>
      </w:r>
    </w:p>
    <w:p>
      <w:pPr>
        <w:spacing w:after="0" w:line="508" w:lineRule="auto"/>
        <w:jc w:val="both"/>
        <w:rPr>
          <w:rFonts w:ascii="Georgia"/>
          <w:sz w:val="24"/>
        </w:rPr>
        <w:sectPr>
          <w:pgSz w:w="12240" w:h="15840"/>
          <w:pgMar w:header="0" w:footer="705" w:top="1440" w:bottom="900" w:left="1700" w:right="1680"/>
        </w:sectPr>
      </w:pPr>
    </w:p>
    <w:p>
      <w:pPr>
        <w:pStyle w:val="Heading1"/>
        <w:spacing w:line="342" w:lineRule="exact"/>
      </w:pPr>
      <w:bookmarkStart w:name="_TOC_250001" w:id="7"/>
      <w:bookmarkEnd w:id="7"/>
      <w:r>
        <w:rPr/>
        <w:t>Chapter 6:   Other Sporting Events</w:t>
      </w:r>
    </w:p>
    <w:p>
      <w:pPr>
        <w:pStyle w:val="BodyText"/>
        <w:spacing w:before="3"/>
        <w:rPr>
          <w:rFonts w:ascii="Palatino Linotype"/>
          <w:sz w:val="40"/>
        </w:rPr>
      </w:pPr>
    </w:p>
    <w:p>
      <w:pPr>
        <w:pStyle w:val="ListParagraph"/>
        <w:numPr>
          <w:ilvl w:val="1"/>
          <w:numId w:val="25"/>
        </w:numPr>
        <w:tabs>
          <w:tab w:pos="479" w:val="left" w:leader="none"/>
        </w:tabs>
        <w:spacing w:line="240" w:lineRule="auto" w:before="0" w:after="0"/>
        <w:ind w:left="478" w:right="0" w:hanging="359"/>
        <w:jc w:val="both"/>
        <w:rPr>
          <w:rFonts w:ascii="Palatino Linotype"/>
          <w:sz w:val="24"/>
        </w:rPr>
      </w:pPr>
      <w:r>
        <w:rPr>
          <w:rFonts w:ascii="Palatino Linotype"/>
          <w:w w:val="105"/>
          <w:sz w:val="24"/>
        </w:rPr>
        <w:t>Introduction</w:t>
      </w:r>
    </w:p>
    <w:p>
      <w:pPr>
        <w:pStyle w:val="BodyText"/>
        <w:rPr>
          <w:rFonts w:ascii="Palatino Linotype"/>
        </w:rPr>
      </w:pPr>
    </w:p>
    <w:p>
      <w:pPr>
        <w:pStyle w:val="BodyText"/>
        <w:spacing w:before="5"/>
        <w:rPr>
          <w:rFonts w:ascii="Palatino Linotype"/>
          <w:sz w:val="18"/>
        </w:rPr>
      </w:pPr>
    </w:p>
    <w:p>
      <w:pPr>
        <w:pStyle w:val="BodyText"/>
        <w:spacing w:line="508" w:lineRule="auto"/>
        <w:ind w:left="119" w:right="108"/>
        <w:jc w:val="both"/>
        <w:rPr>
          <w:rFonts w:ascii="Georgia"/>
        </w:rPr>
      </w:pPr>
      <w:r>
        <w:rPr>
          <w:rFonts w:ascii="Georgia"/>
        </w:rPr>
        <w:t>The Disappearing Positive Methodology was effective so long as the sample analysis could be done at the Moscow Laboratory. This system however was inadequate when doped athletes were sent to events with the presence of international observers. The IP is aware that the London 2012 Games, the 2013 IAAF World Championships and the 2013 World University Games presented challenges to the State run system. As a consequence, other tactics had to be deployed. In some cases, such as during the IAAF Championships and the University Games, a hybrid system was</w:t>
      </w:r>
      <w:r>
        <w:rPr>
          <w:rFonts w:ascii="Georgia"/>
          <w:spacing w:val="53"/>
        </w:rPr>
        <w:t> </w:t>
      </w:r>
      <w:r>
        <w:rPr>
          <w:rFonts w:ascii="Georgia"/>
        </w:rPr>
        <w:t>used.</w:t>
      </w:r>
    </w:p>
    <w:p>
      <w:pPr>
        <w:pStyle w:val="BodyText"/>
        <w:rPr>
          <w:rFonts w:ascii="Georgia"/>
        </w:rPr>
      </w:pPr>
    </w:p>
    <w:p>
      <w:pPr>
        <w:pStyle w:val="BodyText"/>
        <w:rPr>
          <w:rFonts w:ascii="Georgia"/>
        </w:rPr>
      </w:pPr>
    </w:p>
    <w:p>
      <w:pPr>
        <w:pStyle w:val="ListParagraph"/>
        <w:numPr>
          <w:ilvl w:val="1"/>
          <w:numId w:val="25"/>
        </w:numPr>
        <w:tabs>
          <w:tab w:pos="479" w:val="left" w:leader="none"/>
        </w:tabs>
        <w:spacing w:line="240" w:lineRule="auto" w:before="197" w:after="0"/>
        <w:ind w:left="478" w:right="0" w:hanging="359"/>
        <w:jc w:val="both"/>
        <w:rPr>
          <w:rFonts w:ascii="Palatino Linotype"/>
          <w:sz w:val="24"/>
        </w:rPr>
      </w:pPr>
      <w:r>
        <w:rPr>
          <w:rFonts w:ascii="Palatino Linotype"/>
          <w:sz w:val="24"/>
        </w:rPr>
        <w:t>London 2012 Olympic  Games</w:t>
      </w:r>
    </w:p>
    <w:p>
      <w:pPr>
        <w:pStyle w:val="BodyText"/>
        <w:rPr>
          <w:rFonts w:ascii="Palatino Linotype"/>
        </w:rPr>
      </w:pPr>
    </w:p>
    <w:p>
      <w:pPr>
        <w:pStyle w:val="BodyText"/>
        <w:spacing w:before="2"/>
        <w:rPr>
          <w:rFonts w:ascii="Palatino Linotype"/>
          <w:sz w:val="19"/>
        </w:rPr>
      </w:pPr>
    </w:p>
    <w:p>
      <w:pPr>
        <w:pStyle w:val="BodyText"/>
        <w:spacing w:line="508" w:lineRule="auto"/>
        <w:ind w:left="119" w:right="108"/>
        <w:jc w:val="both"/>
        <w:rPr>
          <w:rFonts w:ascii="Georgia"/>
        </w:rPr>
      </w:pPr>
      <w:r>
        <w:rPr>
          <w:rFonts w:ascii="Georgia"/>
        </w:rPr>
        <w:t>In a classical doping cover up scheme, samples are collected pre-competition to determine whether an athlete will test positive at an upcoming competition and should therefore be kept at home. Those samples are not collected in official anti-doping bottles and results are not reported into ADAMS or to the anti- doping authorities. This is the scheme that was in place prior to the IAAF Championships. For the London Games however, a variation of this approach was used, but the purpose remained the</w:t>
      </w:r>
      <w:r>
        <w:rPr>
          <w:rFonts w:ascii="Georgia"/>
          <w:spacing w:val="26"/>
        </w:rPr>
        <w:t> </w:t>
      </w:r>
      <w:r>
        <w:rPr>
          <w:rFonts w:ascii="Georgia"/>
        </w:rPr>
        <w:t>same.</w:t>
      </w:r>
    </w:p>
    <w:p>
      <w:pPr>
        <w:spacing w:after="0" w:line="508" w:lineRule="auto"/>
        <w:jc w:val="both"/>
        <w:rPr>
          <w:rFonts w:ascii="Georgia"/>
        </w:rPr>
        <w:sectPr>
          <w:pgSz w:w="12240" w:h="15840"/>
          <w:pgMar w:header="0" w:footer="705" w:top="1460" w:bottom="900" w:left="1700" w:right="1680"/>
        </w:sectPr>
      </w:pPr>
    </w:p>
    <w:p>
      <w:pPr>
        <w:pStyle w:val="BodyText"/>
        <w:spacing w:line="504" w:lineRule="auto" w:before="16"/>
        <w:ind w:left="119" w:right="107"/>
        <w:jc w:val="both"/>
      </w:pPr>
      <w:r>
        <w:rPr>
          <w:w w:val="110"/>
        </w:rPr>
        <w:t>Before the London Games, the pre-competition samples were collected in official doping control bottles. The analytical results were reviewed by the Moscow Laboratory to determine the likelihood that an athlete was in danger of testing positive at the Games. That likelihood was characterised by Dr. Rodchenkov as either red where the athlete was going to test positive at the Games and should </w:t>
      </w:r>
      <w:r>
        <w:rPr>
          <w:spacing w:val="66"/>
          <w:w w:val="110"/>
        </w:rPr>
        <w:t> </w:t>
      </w:r>
      <w:r>
        <w:rPr>
          <w:w w:val="110"/>
        </w:rPr>
        <w:t>be replaced; yellow, meant the sample still showed traces of PEDs, but should be clear in time for the Games; and green meant the athlete was cleared to go to the Games.</w:t>
      </w:r>
    </w:p>
    <w:p>
      <w:pPr>
        <w:pStyle w:val="BodyText"/>
      </w:pPr>
    </w:p>
    <w:p>
      <w:pPr>
        <w:pStyle w:val="BodyText"/>
        <w:spacing w:before="2"/>
        <w:rPr>
          <w:sz w:val="27"/>
        </w:rPr>
      </w:pPr>
    </w:p>
    <w:p>
      <w:pPr>
        <w:pStyle w:val="BodyText"/>
        <w:spacing w:line="504" w:lineRule="auto"/>
        <w:ind w:left="119" w:right="106"/>
        <w:jc w:val="both"/>
      </w:pPr>
      <w:r>
        <w:rPr>
          <w:w w:val="110"/>
        </w:rPr>
        <w:t>In preparation for London most of the Russian pre-testing samples were reported into ADAMS. The Moscow Laboratory the Disappearing Positive Methodology was used falsifying results to show positives as negatives. This had the same effect as if the results had not been reported at all.</w:t>
      </w:r>
    </w:p>
    <w:p>
      <w:pPr>
        <w:pStyle w:val="BodyText"/>
      </w:pPr>
    </w:p>
    <w:p>
      <w:pPr>
        <w:pStyle w:val="BodyText"/>
        <w:spacing w:before="2"/>
        <w:rPr>
          <w:sz w:val="27"/>
        </w:rPr>
      </w:pPr>
    </w:p>
    <w:p>
      <w:pPr>
        <w:pStyle w:val="BodyText"/>
        <w:spacing w:line="504" w:lineRule="auto"/>
        <w:ind w:left="119" w:right="107"/>
        <w:jc w:val="both"/>
      </w:pPr>
      <w:r>
        <w:rPr>
          <w:w w:val="110"/>
        </w:rPr>
        <w:t>In addition to the scheme described above, Dr. Rodchenkov was able to advise the MofS on the PEDs that would have the least likelihood of detection during the London Games. Dr. Rodchenkov's "cocktail" of the steroids Oral Turinabol, Oxandrolone and Methasterone was administered to athletes prior to the London Games. Meanwhile, EPO also used in micro doses until two weeks before departure to reduce the possibility of detection by the Athlete Blood Passport program. Dr. Rodchenkov would later to tell Minister Mutko that if the London samples  were  ever  reanalysed,  the  Russian  Team  would  be  in  trouble  </w:t>
      </w:r>
      <w:r>
        <w:rPr>
          <w:spacing w:val="60"/>
          <w:w w:val="110"/>
        </w:rPr>
        <w:t> </w:t>
      </w:r>
      <w:r>
        <w:rPr>
          <w:w w:val="110"/>
        </w:rPr>
        <w:t>and</w:t>
      </w:r>
    </w:p>
    <w:p>
      <w:pPr>
        <w:spacing w:after="0" w:line="504" w:lineRule="auto"/>
        <w:jc w:val="both"/>
        <w:sectPr>
          <w:pgSz w:w="12240" w:h="15840"/>
          <w:pgMar w:header="0" w:footer="705" w:top="1440" w:bottom="900" w:left="1700" w:right="1680"/>
        </w:sectPr>
      </w:pPr>
    </w:p>
    <w:p>
      <w:pPr>
        <w:pStyle w:val="BodyText"/>
        <w:spacing w:line="504" w:lineRule="auto" w:before="16"/>
        <w:ind w:left="119" w:right="108"/>
        <w:jc w:val="both"/>
      </w:pPr>
      <w:r>
        <w:rPr>
          <w:w w:val="110"/>
        </w:rPr>
        <w:t>predicted that Oral Turinabol, Oxandrololone, Methasterone, Drostanelone and GW1516 would be found to be present. Dr. Rodchenkov also wrote a report (see attached Exhibit) to the FSB expressing that same conclusion.</w:t>
      </w:r>
    </w:p>
    <w:p>
      <w:pPr>
        <w:pStyle w:val="BodyText"/>
      </w:pPr>
    </w:p>
    <w:p>
      <w:pPr>
        <w:pStyle w:val="BodyText"/>
        <w:spacing w:before="2"/>
        <w:rPr>
          <w:sz w:val="27"/>
        </w:rPr>
      </w:pPr>
    </w:p>
    <w:p>
      <w:pPr>
        <w:pStyle w:val="BodyText"/>
        <w:spacing w:line="504" w:lineRule="auto"/>
        <w:ind w:left="119" w:right="107"/>
        <w:jc w:val="both"/>
      </w:pPr>
      <w:r>
        <w:rPr>
          <w:w w:val="110"/>
        </w:rPr>
        <w:t>Some of the pre-testing which took place before the London Games is reflected on an Excel spreadsheet obtained from the dossier provided at the Los Angeles meeting, which identified 46 Russian athletes, their samples numbers, and the PEDs found in their samples. These tests were mainly conducted during the period of 17-22 July 2012 and provide a basis for Dr. Rodchenkov to label a potential Russian Olympic athlete as red, yellow, green. The IP examined the schedule of pre London 2012 testing and the authenticity of the schedule was confirmed through metadata analysis.</w:t>
      </w:r>
    </w:p>
    <w:p>
      <w:pPr>
        <w:pStyle w:val="BodyText"/>
      </w:pPr>
    </w:p>
    <w:p>
      <w:pPr>
        <w:pStyle w:val="BodyText"/>
        <w:spacing w:before="2"/>
        <w:rPr>
          <w:sz w:val="27"/>
        </w:rPr>
      </w:pPr>
    </w:p>
    <w:p>
      <w:pPr>
        <w:pStyle w:val="BodyText"/>
        <w:spacing w:line="504" w:lineRule="auto"/>
        <w:ind w:left="119" w:right="105"/>
        <w:jc w:val="both"/>
      </w:pPr>
      <w:r>
        <w:rPr>
          <w:w w:val="110"/>
        </w:rPr>
        <w:t>For the purpose of illustrating the impact of these tests, the IP has published an extract of the schedule in chart format below. On the left hand side of the chart are the number of samples involved taken from the 46 athletes. The middle column details the screening test results found by the Moscow Laboratory and the final column details the result reported in ADAMS. The name of the Russian athlete which is shown on the actual schedule has not been included so as not to identify any athlete in advance of any potential results management</w:t>
      </w:r>
      <w:r>
        <w:rPr>
          <w:spacing w:val="18"/>
          <w:w w:val="110"/>
        </w:rPr>
        <w:t> </w:t>
      </w:r>
      <w:r>
        <w:rPr>
          <w:w w:val="110"/>
        </w:rPr>
        <w:t>action.</w:t>
      </w:r>
    </w:p>
    <w:p>
      <w:pPr>
        <w:spacing w:after="0" w:line="504" w:lineRule="auto"/>
        <w:jc w:val="both"/>
        <w:sectPr>
          <w:pgSz w:w="12240" w:h="15840"/>
          <w:pgMar w:header="0" w:footer="705" w:top="1440" w:bottom="900" w:left="1700" w:right="1680"/>
        </w:sectPr>
      </w:pPr>
    </w:p>
    <w:p>
      <w:pPr>
        <w:pStyle w:val="BodyText"/>
        <w:spacing w:line="504" w:lineRule="auto" w:before="16"/>
        <w:ind w:left="139" w:right="567"/>
        <w:jc w:val="both"/>
      </w:pPr>
      <w:r>
        <w:rPr>
          <w:w w:val="110"/>
        </w:rPr>
        <w:t>The chart shows that the Laboratory detected extremely high levels of prohibited substances. With one exception, every positive result was reported as negative findings on</w:t>
      </w:r>
      <w:r>
        <w:rPr>
          <w:spacing w:val="-51"/>
          <w:w w:val="110"/>
        </w:rPr>
        <w:t> </w:t>
      </w:r>
      <w:r>
        <w:rPr>
          <w:w w:val="110"/>
        </w:rPr>
        <w:t>ADAMS.</w:t>
      </w:r>
    </w:p>
    <w:p>
      <w:pPr>
        <w:pStyle w:val="BodyText"/>
        <w:rPr>
          <w:sz w:val="20"/>
        </w:rPr>
      </w:pPr>
    </w:p>
    <w:p>
      <w:pPr>
        <w:pStyle w:val="BodyText"/>
        <w:rPr>
          <w:sz w:val="20"/>
        </w:rPr>
      </w:pPr>
    </w:p>
    <w:p>
      <w:pPr>
        <w:pStyle w:val="BodyText"/>
        <w:spacing w:before="2" w:after="1"/>
        <w:rPr>
          <w:sz w:val="11"/>
        </w:rPr>
      </w:pPr>
    </w:p>
    <w:tbl>
      <w:tblPr>
        <w:tblW w:w="0" w:type="auto"/>
        <w:jc w:val="left"/>
        <w:tblInd w:w="117"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291"/>
        <w:gridCol w:w="5386"/>
        <w:gridCol w:w="2410"/>
      </w:tblGrid>
      <w:tr>
        <w:trPr>
          <w:trHeight w:val="494" w:hRule="exact"/>
        </w:trPr>
        <w:tc>
          <w:tcPr>
            <w:tcW w:w="1291" w:type="dxa"/>
            <w:shd w:val="clear" w:color="auto" w:fill="D9D9D9"/>
          </w:tcPr>
          <w:p>
            <w:pPr>
              <w:pStyle w:val="TableParagraph"/>
              <w:spacing w:line="239" w:lineRule="exact"/>
              <w:rPr>
                <w:rFonts w:ascii="Palatino Linotype"/>
                <w:sz w:val="19"/>
              </w:rPr>
            </w:pPr>
            <w:r>
              <w:rPr>
                <w:rFonts w:ascii="Palatino Linotype"/>
                <w:w w:val="105"/>
                <w:sz w:val="19"/>
              </w:rPr>
              <w:t>Sample No.</w:t>
            </w:r>
          </w:p>
        </w:tc>
        <w:tc>
          <w:tcPr>
            <w:tcW w:w="5386" w:type="dxa"/>
            <w:shd w:val="clear" w:color="auto" w:fill="D9D9D9"/>
          </w:tcPr>
          <w:p>
            <w:pPr>
              <w:pStyle w:val="TableParagraph"/>
              <w:spacing w:line="239" w:lineRule="exact"/>
              <w:ind w:right="5"/>
              <w:rPr>
                <w:rFonts w:ascii="Palatino Linotype"/>
                <w:sz w:val="19"/>
              </w:rPr>
            </w:pPr>
            <w:r>
              <w:rPr>
                <w:rFonts w:ascii="Palatino Linotype"/>
                <w:w w:val="110"/>
                <w:sz w:val="19"/>
              </w:rPr>
              <w:t>Results</w:t>
            </w:r>
          </w:p>
        </w:tc>
        <w:tc>
          <w:tcPr>
            <w:tcW w:w="2410" w:type="dxa"/>
            <w:shd w:val="clear" w:color="auto" w:fill="D9D9D9"/>
          </w:tcPr>
          <w:p>
            <w:pPr>
              <w:pStyle w:val="TableParagraph"/>
              <w:spacing w:line="239" w:lineRule="exact"/>
              <w:ind w:left="105" w:right="27"/>
              <w:rPr>
                <w:rFonts w:ascii="Palatino Linotype"/>
                <w:sz w:val="19"/>
              </w:rPr>
            </w:pPr>
            <w:r>
              <w:rPr>
                <w:rFonts w:ascii="Palatino Linotype"/>
                <w:w w:val="110"/>
                <w:sz w:val="19"/>
              </w:rPr>
              <w:t>ADAMS Results</w:t>
            </w:r>
          </w:p>
        </w:tc>
      </w:tr>
      <w:tr>
        <w:trPr>
          <w:trHeight w:val="490" w:hRule="exact"/>
        </w:trPr>
        <w:tc>
          <w:tcPr>
            <w:tcW w:w="1291" w:type="dxa"/>
          </w:tcPr>
          <w:p>
            <w:pPr>
              <w:pStyle w:val="TableParagraph"/>
              <w:spacing w:before="5"/>
              <w:rPr>
                <w:sz w:val="19"/>
              </w:rPr>
            </w:pPr>
            <w:r>
              <w:rPr>
                <w:w w:val="103"/>
                <w:sz w:val="19"/>
              </w:rPr>
              <w:t>1</w:t>
            </w:r>
          </w:p>
        </w:tc>
        <w:tc>
          <w:tcPr>
            <w:tcW w:w="5386" w:type="dxa"/>
          </w:tcPr>
          <w:p>
            <w:pPr>
              <w:pStyle w:val="TableParagraph"/>
              <w:spacing w:before="5"/>
              <w:ind w:right="5"/>
              <w:rPr>
                <w:sz w:val="19"/>
              </w:rPr>
            </w:pPr>
            <w:r>
              <w:rPr>
                <w:w w:val="115"/>
                <w:sz w:val="19"/>
              </w:rPr>
              <w:t>desoxymethyltestosterone (Madol) traces</w:t>
            </w:r>
          </w:p>
        </w:tc>
        <w:tc>
          <w:tcPr>
            <w:tcW w:w="2410" w:type="dxa"/>
          </w:tcPr>
          <w:p>
            <w:pPr>
              <w:pStyle w:val="TableParagraph"/>
              <w:spacing w:before="5"/>
              <w:ind w:left="105" w:right="27"/>
              <w:rPr>
                <w:sz w:val="19"/>
              </w:rPr>
            </w:pPr>
            <w:r>
              <w:rPr>
                <w:w w:val="115"/>
                <w:sz w:val="19"/>
              </w:rPr>
              <w:t>Negative findings</w:t>
            </w:r>
          </w:p>
        </w:tc>
      </w:tr>
      <w:tr>
        <w:trPr>
          <w:trHeight w:val="974" w:hRule="exact"/>
        </w:trPr>
        <w:tc>
          <w:tcPr>
            <w:tcW w:w="1291" w:type="dxa"/>
          </w:tcPr>
          <w:p>
            <w:pPr>
              <w:pStyle w:val="TableParagraph"/>
              <w:ind w:left="0"/>
              <w:rPr>
                <w:sz w:val="20"/>
              </w:rPr>
            </w:pPr>
          </w:p>
          <w:p>
            <w:pPr>
              <w:pStyle w:val="TableParagraph"/>
              <w:spacing w:before="6"/>
              <w:ind w:left="0"/>
              <w:rPr>
                <w:sz w:val="22"/>
              </w:rPr>
            </w:pPr>
          </w:p>
          <w:p>
            <w:pPr>
              <w:pStyle w:val="TableParagraph"/>
              <w:spacing w:before="1"/>
              <w:rPr>
                <w:sz w:val="19"/>
              </w:rPr>
            </w:pPr>
            <w:r>
              <w:rPr>
                <w:w w:val="103"/>
                <w:sz w:val="19"/>
              </w:rPr>
              <w:t>2</w:t>
            </w:r>
          </w:p>
        </w:tc>
        <w:tc>
          <w:tcPr>
            <w:tcW w:w="5386" w:type="dxa"/>
          </w:tcPr>
          <w:p>
            <w:pPr>
              <w:pStyle w:val="TableParagraph"/>
              <w:spacing w:line="532" w:lineRule="auto" w:before="5"/>
              <w:ind w:right="5"/>
              <w:rPr>
                <w:sz w:val="19"/>
              </w:rPr>
            </w:pPr>
            <w:r>
              <w:rPr>
                <w:w w:val="110"/>
                <w:sz w:val="19"/>
              </w:rPr>
              <w:t>oralturinabol (DHCMT) 150,000, oxandrolone (Anavar) 20,000</w:t>
            </w:r>
          </w:p>
        </w:tc>
        <w:tc>
          <w:tcPr>
            <w:tcW w:w="2410" w:type="dxa"/>
          </w:tcPr>
          <w:p>
            <w:pPr>
              <w:pStyle w:val="TableParagraph"/>
              <w:ind w:left="0"/>
              <w:rPr>
                <w:sz w:val="20"/>
              </w:rPr>
            </w:pPr>
          </w:p>
          <w:p>
            <w:pPr>
              <w:pStyle w:val="TableParagraph"/>
              <w:spacing w:before="6"/>
              <w:ind w:left="0"/>
              <w:rPr>
                <w:sz w:val="22"/>
              </w:rPr>
            </w:pPr>
          </w:p>
          <w:p>
            <w:pPr>
              <w:pStyle w:val="TableParagraph"/>
              <w:spacing w:before="1"/>
              <w:ind w:left="105" w:right="27"/>
              <w:rPr>
                <w:sz w:val="19"/>
              </w:rPr>
            </w:pPr>
            <w:r>
              <w:rPr>
                <w:w w:val="115"/>
                <w:sz w:val="19"/>
              </w:rPr>
              <w:t>Negative findings</w:t>
            </w:r>
          </w:p>
        </w:tc>
      </w:tr>
      <w:tr>
        <w:trPr>
          <w:trHeight w:val="494" w:hRule="exact"/>
        </w:trPr>
        <w:tc>
          <w:tcPr>
            <w:tcW w:w="1291" w:type="dxa"/>
          </w:tcPr>
          <w:p>
            <w:pPr>
              <w:pStyle w:val="TableParagraph"/>
              <w:spacing w:before="5"/>
              <w:rPr>
                <w:sz w:val="19"/>
              </w:rPr>
            </w:pPr>
            <w:r>
              <w:rPr>
                <w:w w:val="103"/>
                <w:sz w:val="19"/>
              </w:rPr>
              <w:t>3</w:t>
            </w:r>
          </w:p>
        </w:tc>
        <w:tc>
          <w:tcPr>
            <w:tcW w:w="5386" w:type="dxa"/>
          </w:tcPr>
          <w:p>
            <w:pPr>
              <w:pStyle w:val="TableParagraph"/>
              <w:spacing w:before="5"/>
              <w:ind w:right="5"/>
              <w:rPr>
                <w:sz w:val="19"/>
              </w:rPr>
            </w:pPr>
            <w:r>
              <w:rPr>
                <w:w w:val="110"/>
                <w:sz w:val="19"/>
              </w:rPr>
              <w:t>oralturinabol 450,000</w:t>
            </w:r>
          </w:p>
        </w:tc>
        <w:tc>
          <w:tcPr>
            <w:tcW w:w="2410" w:type="dxa"/>
          </w:tcPr>
          <w:p>
            <w:pPr>
              <w:pStyle w:val="TableParagraph"/>
              <w:spacing w:before="5"/>
              <w:ind w:left="105" w:right="27"/>
              <w:rPr>
                <w:sz w:val="19"/>
              </w:rPr>
            </w:pPr>
            <w:r>
              <w:rPr>
                <w:w w:val="115"/>
                <w:sz w:val="19"/>
              </w:rPr>
              <w:t>Negative findings</w:t>
            </w:r>
          </w:p>
        </w:tc>
      </w:tr>
      <w:tr>
        <w:trPr>
          <w:trHeight w:val="490" w:hRule="exact"/>
        </w:trPr>
        <w:tc>
          <w:tcPr>
            <w:tcW w:w="1291" w:type="dxa"/>
          </w:tcPr>
          <w:p>
            <w:pPr>
              <w:pStyle w:val="TableParagraph"/>
              <w:spacing w:before="5"/>
              <w:rPr>
                <w:sz w:val="19"/>
              </w:rPr>
            </w:pPr>
            <w:r>
              <w:rPr>
                <w:w w:val="103"/>
                <w:sz w:val="19"/>
              </w:rPr>
              <w:t>4</w:t>
            </w:r>
          </w:p>
        </w:tc>
        <w:tc>
          <w:tcPr>
            <w:tcW w:w="5386" w:type="dxa"/>
          </w:tcPr>
          <w:p>
            <w:pPr>
              <w:pStyle w:val="TableParagraph"/>
              <w:spacing w:before="5"/>
              <w:ind w:right="5"/>
              <w:rPr>
                <w:sz w:val="19"/>
              </w:rPr>
            </w:pPr>
            <w:r>
              <w:rPr>
                <w:w w:val="115"/>
                <w:sz w:val="19"/>
              </w:rPr>
              <w:t>oralturinabol 45,000</w:t>
            </w:r>
          </w:p>
        </w:tc>
        <w:tc>
          <w:tcPr>
            <w:tcW w:w="2410" w:type="dxa"/>
          </w:tcPr>
          <w:p>
            <w:pPr>
              <w:pStyle w:val="TableParagraph"/>
              <w:spacing w:before="5"/>
              <w:ind w:left="105" w:right="27"/>
              <w:rPr>
                <w:sz w:val="19"/>
              </w:rPr>
            </w:pPr>
            <w:r>
              <w:rPr>
                <w:w w:val="115"/>
                <w:sz w:val="19"/>
              </w:rPr>
              <w:t>Negative findings</w:t>
            </w:r>
          </w:p>
        </w:tc>
      </w:tr>
      <w:tr>
        <w:trPr>
          <w:trHeight w:val="974" w:hRule="exact"/>
        </w:trPr>
        <w:tc>
          <w:tcPr>
            <w:tcW w:w="1291" w:type="dxa"/>
          </w:tcPr>
          <w:p>
            <w:pPr>
              <w:pStyle w:val="TableParagraph"/>
              <w:ind w:left="0"/>
              <w:rPr>
                <w:sz w:val="20"/>
              </w:rPr>
            </w:pPr>
          </w:p>
          <w:p>
            <w:pPr>
              <w:pStyle w:val="TableParagraph"/>
              <w:spacing w:before="6"/>
              <w:ind w:left="0"/>
              <w:rPr>
                <w:sz w:val="22"/>
              </w:rPr>
            </w:pPr>
          </w:p>
          <w:p>
            <w:pPr>
              <w:pStyle w:val="TableParagraph"/>
              <w:spacing w:before="1"/>
              <w:rPr>
                <w:sz w:val="19"/>
              </w:rPr>
            </w:pPr>
            <w:r>
              <w:rPr>
                <w:w w:val="103"/>
                <w:sz w:val="19"/>
              </w:rPr>
              <w:t>5</w:t>
            </w:r>
          </w:p>
        </w:tc>
        <w:tc>
          <w:tcPr>
            <w:tcW w:w="5386" w:type="dxa"/>
          </w:tcPr>
          <w:p>
            <w:pPr>
              <w:pStyle w:val="TableParagraph"/>
              <w:tabs>
                <w:tab w:pos="1801" w:val="left" w:leader="none"/>
                <w:tab w:pos="3004" w:val="left" w:leader="none"/>
                <w:tab w:pos="4668" w:val="left" w:leader="none"/>
              </w:tabs>
              <w:spacing w:before="10"/>
              <w:ind w:right="5"/>
              <w:rPr>
                <w:sz w:val="19"/>
              </w:rPr>
            </w:pPr>
            <w:r>
              <w:rPr>
                <w:w w:val="115"/>
                <w:sz w:val="19"/>
              </w:rPr>
              <w:t>methasterone</w:t>
              <w:tab/>
              <w:t>140,000,</w:t>
              <w:tab/>
              <w:t>oralturinabol</w:t>
              <w:tab/>
              <w:t>20,000,</w:t>
            </w:r>
          </w:p>
          <w:p>
            <w:pPr>
              <w:pStyle w:val="TableParagraph"/>
              <w:spacing w:before="8"/>
              <w:ind w:left="0"/>
              <w:rPr>
                <w:sz w:val="22"/>
              </w:rPr>
            </w:pPr>
          </w:p>
          <w:p>
            <w:pPr>
              <w:pStyle w:val="TableParagraph"/>
              <w:ind w:right="5"/>
              <w:rPr>
                <w:sz w:val="19"/>
              </w:rPr>
            </w:pPr>
            <w:r>
              <w:rPr>
                <w:w w:val="110"/>
                <w:sz w:val="19"/>
              </w:rPr>
              <w:t>desoxymethyltestosterone  20,000</w:t>
            </w:r>
          </w:p>
        </w:tc>
        <w:tc>
          <w:tcPr>
            <w:tcW w:w="2410" w:type="dxa"/>
          </w:tcPr>
          <w:p>
            <w:pPr>
              <w:pStyle w:val="TableParagraph"/>
              <w:ind w:left="0"/>
              <w:rPr>
                <w:sz w:val="20"/>
              </w:rPr>
            </w:pPr>
          </w:p>
          <w:p>
            <w:pPr>
              <w:pStyle w:val="TableParagraph"/>
              <w:spacing w:before="6"/>
              <w:ind w:left="0"/>
              <w:rPr>
                <w:sz w:val="22"/>
              </w:rPr>
            </w:pPr>
          </w:p>
          <w:p>
            <w:pPr>
              <w:pStyle w:val="TableParagraph"/>
              <w:spacing w:before="1"/>
              <w:ind w:left="105" w:right="27"/>
              <w:rPr>
                <w:sz w:val="19"/>
              </w:rPr>
            </w:pPr>
            <w:r>
              <w:rPr>
                <w:w w:val="115"/>
                <w:sz w:val="19"/>
              </w:rPr>
              <w:t>Negative findings</w:t>
            </w:r>
          </w:p>
        </w:tc>
      </w:tr>
      <w:tr>
        <w:trPr>
          <w:trHeight w:val="494" w:hRule="exact"/>
        </w:trPr>
        <w:tc>
          <w:tcPr>
            <w:tcW w:w="1291" w:type="dxa"/>
          </w:tcPr>
          <w:p>
            <w:pPr>
              <w:pStyle w:val="TableParagraph"/>
              <w:spacing w:before="10"/>
              <w:rPr>
                <w:sz w:val="19"/>
              </w:rPr>
            </w:pPr>
            <w:r>
              <w:rPr>
                <w:w w:val="103"/>
                <w:sz w:val="19"/>
              </w:rPr>
              <w:t>6</w:t>
            </w:r>
          </w:p>
        </w:tc>
        <w:tc>
          <w:tcPr>
            <w:tcW w:w="5386" w:type="dxa"/>
          </w:tcPr>
          <w:p>
            <w:pPr>
              <w:pStyle w:val="TableParagraph"/>
              <w:spacing w:before="10"/>
              <w:ind w:right="5"/>
              <w:rPr>
                <w:sz w:val="19"/>
              </w:rPr>
            </w:pPr>
            <w:r>
              <w:rPr>
                <w:w w:val="115"/>
                <w:sz w:val="19"/>
              </w:rPr>
              <w:t>T/E = 10, desoxymethyltestosterone 40,000</w:t>
            </w:r>
          </w:p>
        </w:tc>
        <w:tc>
          <w:tcPr>
            <w:tcW w:w="2410" w:type="dxa"/>
          </w:tcPr>
          <w:p>
            <w:pPr>
              <w:pStyle w:val="TableParagraph"/>
              <w:spacing w:before="10"/>
              <w:ind w:left="105" w:right="27"/>
              <w:rPr>
                <w:sz w:val="19"/>
              </w:rPr>
            </w:pPr>
            <w:r>
              <w:rPr>
                <w:w w:val="115"/>
                <w:sz w:val="19"/>
              </w:rPr>
              <w:t>Negative findings</w:t>
            </w:r>
          </w:p>
        </w:tc>
      </w:tr>
      <w:tr>
        <w:trPr>
          <w:trHeight w:val="974" w:hRule="exact"/>
        </w:trPr>
        <w:tc>
          <w:tcPr>
            <w:tcW w:w="1291" w:type="dxa"/>
          </w:tcPr>
          <w:p>
            <w:pPr>
              <w:pStyle w:val="TableParagraph"/>
              <w:ind w:left="0"/>
              <w:rPr>
                <w:sz w:val="20"/>
              </w:rPr>
            </w:pPr>
          </w:p>
          <w:p>
            <w:pPr>
              <w:pStyle w:val="TableParagraph"/>
              <w:spacing w:before="5"/>
              <w:ind w:left="0"/>
              <w:rPr>
                <w:sz w:val="22"/>
              </w:rPr>
            </w:pPr>
          </w:p>
          <w:p>
            <w:pPr>
              <w:pStyle w:val="TableParagraph"/>
              <w:rPr>
                <w:sz w:val="19"/>
              </w:rPr>
            </w:pPr>
            <w:r>
              <w:rPr>
                <w:w w:val="103"/>
                <w:sz w:val="19"/>
              </w:rPr>
              <w:t>7</w:t>
            </w:r>
          </w:p>
        </w:tc>
        <w:tc>
          <w:tcPr>
            <w:tcW w:w="5386" w:type="dxa"/>
          </w:tcPr>
          <w:p>
            <w:pPr>
              <w:pStyle w:val="TableParagraph"/>
              <w:spacing w:before="5"/>
              <w:ind w:right="5"/>
              <w:rPr>
                <w:sz w:val="19"/>
              </w:rPr>
            </w:pPr>
            <w:r>
              <w:rPr>
                <w:w w:val="115"/>
                <w:sz w:val="19"/>
              </w:rPr>
              <w:t>cannabiminetics JWH-018 (200,000), nandrolone 1 ng/ml,</w:t>
            </w:r>
          </w:p>
          <w:p>
            <w:pPr>
              <w:pStyle w:val="TableParagraph"/>
              <w:ind w:left="0"/>
              <w:rPr>
                <w:sz w:val="23"/>
              </w:rPr>
            </w:pPr>
          </w:p>
          <w:p>
            <w:pPr>
              <w:pStyle w:val="TableParagraph"/>
              <w:ind w:right="5"/>
              <w:rPr>
                <w:sz w:val="19"/>
              </w:rPr>
            </w:pPr>
            <w:r>
              <w:rPr>
                <w:w w:val="115"/>
                <w:sz w:val="19"/>
              </w:rPr>
              <w:t>oralturinabol 12,000</w:t>
            </w:r>
          </w:p>
        </w:tc>
        <w:tc>
          <w:tcPr>
            <w:tcW w:w="2410" w:type="dxa"/>
          </w:tcPr>
          <w:p>
            <w:pPr>
              <w:pStyle w:val="TableParagraph"/>
              <w:ind w:left="0"/>
              <w:rPr>
                <w:sz w:val="20"/>
              </w:rPr>
            </w:pPr>
          </w:p>
          <w:p>
            <w:pPr>
              <w:pStyle w:val="TableParagraph"/>
              <w:spacing w:before="5"/>
              <w:ind w:left="0"/>
              <w:rPr>
                <w:sz w:val="22"/>
              </w:rPr>
            </w:pPr>
          </w:p>
          <w:p>
            <w:pPr>
              <w:pStyle w:val="TableParagraph"/>
              <w:ind w:left="105" w:right="27"/>
              <w:rPr>
                <w:sz w:val="19"/>
              </w:rPr>
            </w:pPr>
            <w:r>
              <w:rPr>
                <w:w w:val="115"/>
                <w:sz w:val="19"/>
              </w:rPr>
              <w:t>Negative findings</w:t>
            </w:r>
          </w:p>
        </w:tc>
      </w:tr>
      <w:tr>
        <w:trPr>
          <w:trHeight w:val="494" w:hRule="exact"/>
        </w:trPr>
        <w:tc>
          <w:tcPr>
            <w:tcW w:w="1291" w:type="dxa"/>
            <w:tcBorders>
              <w:bottom w:val="single" w:sz="4" w:space="0" w:color="000000"/>
            </w:tcBorders>
          </w:tcPr>
          <w:p>
            <w:pPr>
              <w:pStyle w:val="TableParagraph"/>
              <w:spacing w:before="5"/>
              <w:rPr>
                <w:sz w:val="19"/>
              </w:rPr>
            </w:pPr>
            <w:r>
              <w:rPr>
                <w:w w:val="103"/>
                <w:sz w:val="19"/>
              </w:rPr>
              <w:t>8</w:t>
            </w:r>
          </w:p>
        </w:tc>
        <w:tc>
          <w:tcPr>
            <w:tcW w:w="5386" w:type="dxa"/>
            <w:tcBorders>
              <w:bottom w:val="single" w:sz="4" w:space="0" w:color="000000"/>
            </w:tcBorders>
          </w:tcPr>
          <w:p>
            <w:pPr>
              <w:pStyle w:val="TableParagraph"/>
              <w:spacing w:before="5"/>
              <w:ind w:right="5"/>
              <w:rPr>
                <w:sz w:val="19"/>
              </w:rPr>
            </w:pPr>
            <w:r>
              <w:rPr>
                <w:w w:val="110"/>
                <w:sz w:val="19"/>
              </w:rPr>
              <w:t>desoxymethyltestosterone  300,000</w:t>
            </w:r>
          </w:p>
        </w:tc>
        <w:tc>
          <w:tcPr>
            <w:tcW w:w="2410" w:type="dxa"/>
            <w:tcBorders>
              <w:bottom w:val="single" w:sz="4" w:space="0" w:color="000000"/>
            </w:tcBorders>
          </w:tcPr>
          <w:p>
            <w:pPr>
              <w:pStyle w:val="TableParagraph"/>
              <w:spacing w:before="5"/>
              <w:ind w:left="105" w:right="27"/>
              <w:rPr>
                <w:sz w:val="19"/>
              </w:rPr>
            </w:pPr>
            <w:r>
              <w:rPr>
                <w:w w:val="115"/>
                <w:sz w:val="19"/>
              </w:rPr>
              <w:t>Negative findings</w:t>
            </w:r>
          </w:p>
        </w:tc>
      </w:tr>
      <w:tr>
        <w:trPr>
          <w:trHeight w:val="490" w:hRule="exact"/>
        </w:trPr>
        <w:tc>
          <w:tcPr>
            <w:tcW w:w="1291" w:type="dxa"/>
            <w:tcBorders>
              <w:top w:val="single" w:sz="4" w:space="0" w:color="000000"/>
            </w:tcBorders>
          </w:tcPr>
          <w:p>
            <w:pPr>
              <w:pStyle w:val="TableParagraph"/>
              <w:spacing w:before="6"/>
              <w:rPr>
                <w:sz w:val="19"/>
              </w:rPr>
            </w:pPr>
            <w:r>
              <w:rPr>
                <w:w w:val="103"/>
                <w:sz w:val="19"/>
              </w:rPr>
              <w:t>9</w:t>
            </w:r>
          </w:p>
        </w:tc>
        <w:tc>
          <w:tcPr>
            <w:tcW w:w="5386" w:type="dxa"/>
            <w:tcBorders>
              <w:top w:val="single" w:sz="4" w:space="0" w:color="000000"/>
            </w:tcBorders>
          </w:tcPr>
          <w:p>
            <w:pPr>
              <w:pStyle w:val="TableParagraph"/>
              <w:spacing w:before="6"/>
              <w:ind w:right="5"/>
              <w:rPr>
                <w:sz w:val="19"/>
              </w:rPr>
            </w:pPr>
            <w:r>
              <w:rPr>
                <w:w w:val="115"/>
                <w:sz w:val="19"/>
              </w:rPr>
              <w:t>methasterone 14,000; drostanolone 1,800,000</w:t>
            </w:r>
          </w:p>
        </w:tc>
        <w:tc>
          <w:tcPr>
            <w:tcW w:w="2410" w:type="dxa"/>
            <w:tcBorders>
              <w:top w:val="single" w:sz="4" w:space="0" w:color="000000"/>
            </w:tcBorders>
          </w:tcPr>
          <w:p>
            <w:pPr>
              <w:pStyle w:val="TableParagraph"/>
              <w:spacing w:before="6"/>
              <w:ind w:left="105" w:right="27"/>
              <w:rPr>
                <w:sz w:val="19"/>
              </w:rPr>
            </w:pPr>
            <w:r>
              <w:rPr>
                <w:w w:val="115"/>
                <w:sz w:val="19"/>
              </w:rPr>
              <w:t>Negative findings</w:t>
            </w:r>
          </w:p>
        </w:tc>
      </w:tr>
      <w:tr>
        <w:trPr>
          <w:trHeight w:val="974" w:hRule="exact"/>
        </w:trPr>
        <w:tc>
          <w:tcPr>
            <w:tcW w:w="1291" w:type="dxa"/>
          </w:tcPr>
          <w:p>
            <w:pPr>
              <w:pStyle w:val="TableParagraph"/>
              <w:ind w:left="0"/>
              <w:rPr>
                <w:sz w:val="20"/>
              </w:rPr>
            </w:pPr>
          </w:p>
          <w:p>
            <w:pPr>
              <w:pStyle w:val="TableParagraph"/>
              <w:spacing w:before="6"/>
              <w:ind w:left="0"/>
              <w:rPr>
                <w:sz w:val="22"/>
              </w:rPr>
            </w:pPr>
          </w:p>
          <w:p>
            <w:pPr>
              <w:pStyle w:val="TableParagraph"/>
              <w:spacing w:before="1"/>
              <w:rPr>
                <w:sz w:val="19"/>
              </w:rPr>
            </w:pPr>
            <w:r>
              <w:rPr>
                <w:w w:val="105"/>
                <w:sz w:val="19"/>
              </w:rPr>
              <w:t>10</w:t>
            </w:r>
          </w:p>
        </w:tc>
        <w:tc>
          <w:tcPr>
            <w:tcW w:w="5386" w:type="dxa"/>
          </w:tcPr>
          <w:p>
            <w:pPr>
              <w:pStyle w:val="TableParagraph"/>
              <w:spacing w:before="5"/>
              <w:ind w:right="5"/>
              <w:rPr>
                <w:sz w:val="19"/>
              </w:rPr>
            </w:pPr>
            <w:r>
              <w:rPr>
                <w:w w:val="115"/>
                <w:sz w:val="19"/>
              </w:rPr>
              <w:t>methasterone 140,000; oralturinabol 350,000; oxandrolone</w:t>
            </w:r>
          </w:p>
          <w:p>
            <w:pPr>
              <w:pStyle w:val="TableParagraph"/>
              <w:spacing w:before="1"/>
              <w:ind w:left="0"/>
              <w:rPr>
                <w:sz w:val="23"/>
              </w:rPr>
            </w:pPr>
          </w:p>
          <w:p>
            <w:pPr>
              <w:pStyle w:val="TableParagraph"/>
              <w:spacing w:before="1"/>
              <w:ind w:right="5"/>
              <w:rPr>
                <w:sz w:val="19"/>
              </w:rPr>
            </w:pPr>
            <w:r>
              <w:rPr>
                <w:w w:val="105"/>
                <w:sz w:val="19"/>
              </w:rPr>
              <w:t>6,000;   desoxymethyltestosterone   25,000</w:t>
            </w:r>
          </w:p>
        </w:tc>
        <w:tc>
          <w:tcPr>
            <w:tcW w:w="2410" w:type="dxa"/>
          </w:tcPr>
          <w:p>
            <w:pPr>
              <w:pStyle w:val="TableParagraph"/>
              <w:ind w:left="0"/>
              <w:rPr>
                <w:sz w:val="20"/>
              </w:rPr>
            </w:pPr>
          </w:p>
          <w:p>
            <w:pPr>
              <w:pStyle w:val="TableParagraph"/>
              <w:spacing w:before="6"/>
              <w:ind w:left="0"/>
              <w:rPr>
                <w:sz w:val="22"/>
              </w:rPr>
            </w:pPr>
          </w:p>
          <w:p>
            <w:pPr>
              <w:pStyle w:val="TableParagraph"/>
              <w:spacing w:before="1"/>
              <w:ind w:left="105" w:right="27"/>
              <w:rPr>
                <w:sz w:val="19"/>
              </w:rPr>
            </w:pPr>
            <w:r>
              <w:rPr>
                <w:w w:val="115"/>
                <w:sz w:val="19"/>
              </w:rPr>
              <w:t>Negative findings</w:t>
            </w:r>
          </w:p>
        </w:tc>
      </w:tr>
      <w:tr>
        <w:trPr>
          <w:trHeight w:val="494" w:hRule="exact"/>
        </w:trPr>
        <w:tc>
          <w:tcPr>
            <w:tcW w:w="1291" w:type="dxa"/>
          </w:tcPr>
          <w:p>
            <w:pPr>
              <w:pStyle w:val="TableParagraph"/>
              <w:spacing w:before="5"/>
              <w:rPr>
                <w:sz w:val="19"/>
              </w:rPr>
            </w:pPr>
            <w:r>
              <w:rPr>
                <w:w w:val="105"/>
                <w:sz w:val="19"/>
              </w:rPr>
              <w:t>11</w:t>
            </w:r>
          </w:p>
        </w:tc>
        <w:tc>
          <w:tcPr>
            <w:tcW w:w="5386" w:type="dxa"/>
          </w:tcPr>
          <w:p>
            <w:pPr>
              <w:pStyle w:val="TableParagraph"/>
              <w:spacing w:before="5"/>
              <w:ind w:right="5"/>
              <w:rPr>
                <w:sz w:val="19"/>
              </w:rPr>
            </w:pPr>
            <w:r>
              <w:rPr>
                <w:w w:val="110"/>
                <w:sz w:val="19"/>
              </w:rPr>
              <w:t>desoxymethyltestosterone  25,000</w:t>
            </w:r>
          </w:p>
        </w:tc>
        <w:tc>
          <w:tcPr>
            <w:tcW w:w="2410" w:type="dxa"/>
          </w:tcPr>
          <w:p>
            <w:pPr>
              <w:pStyle w:val="TableParagraph"/>
              <w:spacing w:before="5"/>
              <w:ind w:left="105" w:right="27"/>
              <w:rPr>
                <w:sz w:val="19"/>
              </w:rPr>
            </w:pPr>
            <w:r>
              <w:rPr>
                <w:w w:val="115"/>
                <w:sz w:val="19"/>
              </w:rPr>
              <w:t>Negative findings</w:t>
            </w:r>
          </w:p>
        </w:tc>
      </w:tr>
      <w:tr>
        <w:trPr>
          <w:trHeight w:val="974" w:hRule="exact"/>
        </w:trPr>
        <w:tc>
          <w:tcPr>
            <w:tcW w:w="1291" w:type="dxa"/>
          </w:tcPr>
          <w:p>
            <w:pPr>
              <w:pStyle w:val="TableParagraph"/>
              <w:ind w:left="0"/>
              <w:rPr>
                <w:sz w:val="20"/>
              </w:rPr>
            </w:pPr>
          </w:p>
          <w:p>
            <w:pPr>
              <w:pStyle w:val="TableParagraph"/>
              <w:spacing w:before="2"/>
              <w:ind w:left="0"/>
              <w:rPr>
                <w:sz w:val="22"/>
              </w:rPr>
            </w:pPr>
          </w:p>
          <w:p>
            <w:pPr>
              <w:pStyle w:val="TableParagraph"/>
              <w:rPr>
                <w:sz w:val="19"/>
              </w:rPr>
            </w:pPr>
            <w:r>
              <w:rPr>
                <w:w w:val="105"/>
                <w:sz w:val="19"/>
              </w:rPr>
              <w:t>12</w:t>
            </w:r>
          </w:p>
        </w:tc>
        <w:tc>
          <w:tcPr>
            <w:tcW w:w="5386" w:type="dxa"/>
          </w:tcPr>
          <w:p>
            <w:pPr>
              <w:pStyle w:val="TableParagraph"/>
              <w:tabs>
                <w:tab w:pos="1801" w:val="left" w:leader="none"/>
                <w:tab w:pos="3004" w:val="left" w:leader="none"/>
                <w:tab w:pos="4671" w:val="left" w:leader="none"/>
              </w:tabs>
              <w:spacing w:before="5"/>
              <w:rPr>
                <w:sz w:val="19"/>
              </w:rPr>
            </w:pPr>
            <w:r>
              <w:rPr>
                <w:w w:val="115"/>
                <w:sz w:val="19"/>
              </w:rPr>
              <w:t>methasterone</w:t>
              <w:tab/>
            </w:r>
            <w:r>
              <w:rPr>
                <w:w w:val="110"/>
                <w:sz w:val="19"/>
              </w:rPr>
              <w:t>230,000;</w:t>
              <w:tab/>
            </w:r>
            <w:r>
              <w:rPr>
                <w:w w:val="115"/>
                <w:sz w:val="19"/>
              </w:rPr>
              <w:t>oralturinabol</w:t>
              <w:tab/>
              <w:t>10,000;</w:t>
            </w:r>
          </w:p>
          <w:p>
            <w:pPr>
              <w:pStyle w:val="TableParagraph"/>
              <w:spacing w:before="8"/>
              <w:ind w:left="0"/>
              <w:rPr>
                <w:sz w:val="22"/>
              </w:rPr>
            </w:pPr>
          </w:p>
          <w:p>
            <w:pPr>
              <w:pStyle w:val="TableParagraph"/>
              <w:ind w:right="5"/>
              <w:rPr>
                <w:sz w:val="19"/>
              </w:rPr>
            </w:pPr>
            <w:r>
              <w:rPr>
                <w:w w:val="110"/>
                <w:sz w:val="19"/>
              </w:rPr>
              <w:t>desoxymethyltestosterone  30,000</w:t>
            </w:r>
          </w:p>
        </w:tc>
        <w:tc>
          <w:tcPr>
            <w:tcW w:w="2410" w:type="dxa"/>
          </w:tcPr>
          <w:p>
            <w:pPr>
              <w:pStyle w:val="TableParagraph"/>
              <w:ind w:left="0"/>
              <w:rPr>
                <w:sz w:val="20"/>
              </w:rPr>
            </w:pPr>
          </w:p>
          <w:p>
            <w:pPr>
              <w:pStyle w:val="TableParagraph"/>
              <w:spacing w:before="2"/>
              <w:ind w:left="0"/>
              <w:rPr>
                <w:sz w:val="22"/>
              </w:rPr>
            </w:pPr>
          </w:p>
          <w:p>
            <w:pPr>
              <w:pStyle w:val="TableParagraph"/>
              <w:ind w:left="105" w:right="27"/>
              <w:rPr>
                <w:sz w:val="19"/>
              </w:rPr>
            </w:pPr>
            <w:r>
              <w:rPr>
                <w:w w:val="115"/>
                <w:sz w:val="19"/>
              </w:rPr>
              <w:t>Negative findings</w:t>
            </w:r>
          </w:p>
        </w:tc>
      </w:tr>
      <w:tr>
        <w:trPr>
          <w:trHeight w:val="490" w:hRule="exact"/>
        </w:trPr>
        <w:tc>
          <w:tcPr>
            <w:tcW w:w="1291" w:type="dxa"/>
          </w:tcPr>
          <w:p>
            <w:pPr>
              <w:pStyle w:val="TableParagraph"/>
              <w:spacing w:before="5"/>
              <w:rPr>
                <w:sz w:val="19"/>
              </w:rPr>
            </w:pPr>
            <w:r>
              <w:rPr>
                <w:w w:val="105"/>
                <w:sz w:val="19"/>
              </w:rPr>
              <w:t>13</w:t>
            </w:r>
          </w:p>
        </w:tc>
        <w:tc>
          <w:tcPr>
            <w:tcW w:w="5386" w:type="dxa"/>
          </w:tcPr>
          <w:p>
            <w:pPr>
              <w:pStyle w:val="TableParagraph"/>
              <w:spacing w:before="5"/>
              <w:ind w:right="5"/>
              <w:rPr>
                <w:sz w:val="19"/>
              </w:rPr>
            </w:pPr>
            <w:r>
              <w:rPr>
                <w:w w:val="115"/>
                <w:sz w:val="19"/>
              </w:rPr>
              <w:t>T/E = 4.2; desoxymethyltestosterone 120,000</w:t>
            </w:r>
          </w:p>
        </w:tc>
        <w:tc>
          <w:tcPr>
            <w:tcW w:w="2410" w:type="dxa"/>
          </w:tcPr>
          <w:p>
            <w:pPr>
              <w:pStyle w:val="TableParagraph"/>
              <w:spacing w:before="5"/>
              <w:ind w:left="105" w:right="27"/>
              <w:rPr>
                <w:sz w:val="19"/>
              </w:rPr>
            </w:pPr>
            <w:r>
              <w:rPr>
                <w:w w:val="115"/>
                <w:sz w:val="19"/>
              </w:rPr>
              <w:t>Negative findings</w:t>
            </w:r>
          </w:p>
        </w:tc>
      </w:tr>
      <w:tr>
        <w:trPr>
          <w:trHeight w:val="494" w:hRule="exact"/>
        </w:trPr>
        <w:tc>
          <w:tcPr>
            <w:tcW w:w="1291" w:type="dxa"/>
          </w:tcPr>
          <w:p>
            <w:pPr>
              <w:pStyle w:val="TableParagraph"/>
              <w:spacing w:before="5"/>
              <w:rPr>
                <w:sz w:val="19"/>
              </w:rPr>
            </w:pPr>
            <w:r>
              <w:rPr>
                <w:w w:val="105"/>
                <w:sz w:val="19"/>
              </w:rPr>
              <w:t>14</w:t>
            </w:r>
          </w:p>
        </w:tc>
        <w:tc>
          <w:tcPr>
            <w:tcW w:w="5386" w:type="dxa"/>
          </w:tcPr>
          <w:p>
            <w:pPr>
              <w:pStyle w:val="TableParagraph"/>
              <w:spacing w:before="5"/>
              <w:ind w:right="5"/>
              <w:rPr>
                <w:sz w:val="19"/>
              </w:rPr>
            </w:pPr>
            <w:r>
              <w:rPr>
                <w:w w:val="110"/>
                <w:sz w:val="19"/>
              </w:rPr>
              <w:t>oxandrolone 200000</w:t>
            </w:r>
          </w:p>
        </w:tc>
        <w:tc>
          <w:tcPr>
            <w:tcW w:w="2410" w:type="dxa"/>
          </w:tcPr>
          <w:p>
            <w:pPr>
              <w:pStyle w:val="TableParagraph"/>
              <w:spacing w:before="5"/>
              <w:ind w:left="105" w:right="27"/>
              <w:rPr>
                <w:sz w:val="19"/>
              </w:rPr>
            </w:pPr>
            <w:r>
              <w:rPr>
                <w:w w:val="115"/>
                <w:sz w:val="19"/>
              </w:rPr>
              <w:t>Negative findings</w:t>
            </w:r>
          </w:p>
        </w:tc>
      </w:tr>
      <w:tr>
        <w:trPr>
          <w:trHeight w:val="490" w:hRule="exact"/>
        </w:trPr>
        <w:tc>
          <w:tcPr>
            <w:tcW w:w="1291" w:type="dxa"/>
          </w:tcPr>
          <w:p>
            <w:pPr>
              <w:pStyle w:val="TableParagraph"/>
              <w:spacing w:before="5"/>
              <w:rPr>
                <w:sz w:val="19"/>
              </w:rPr>
            </w:pPr>
            <w:r>
              <w:rPr>
                <w:w w:val="105"/>
                <w:sz w:val="19"/>
              </w:rPr>
              <w:t>15</w:t>
            </w:r>
          </w:p>
        </w:tc>
        <w:tc>
          <w:tcPr>
            <w:tcW w:w="5386" w:type="dxa"/>
          </w:tcPr>
          <w:p>
            <w:pPr>
              <w:pStyle w:val="TableParagraph"/>
              <w:spacing w:before="5"/>
              <w:ind w:right="5"/>
              <w:rPr>
                <w:sz w:val="19"/>
              </w:rPr>
            </w:pPr>
            <w:r>
              <w:rPr>
                <w:spacing w:val="-1"/>
                <w:w w:val="112"/>
                <w:sz w:val="19"/>
              </w:rPr>
              <w:t>o</w:t>
            </w:r>
            <w:r>
              <w:rPr>
                <w:spacing w:val="2"/>
                <w:w w:val="122"/>
                <w:sz w:val="19"/>
              </w:rPr>
              <w:t>r</w:t>
            </w:r>
            <w:r>
              <w:rPr>
                <w:spacing w:val="1"/>
                <w:w w:val="115"/>
                <w:sz w:val="19"/>
              </w:rPr>
              <w:t>al</w:t>
            </w:r>
            <w:r>
              <w:rPr>
                <w:spacing w:val="3"/>
                <w:w w:val="115"/>
                <w:sz w:val="19"/>
              </w:rPr>
              <w:t>t</w:t>
            </w:r>
            <w:r>
              <w:rPr>
                <w:w w:val="124"/>
                <w:sz w:val="19"/>
              </w:rPr>
              <w:t>u</w:t>
            </w:r>
            <w:r>
              <w:rPr>
                <w:spacing w:val="3"/>
                <w:w w:val="122"/>
                <w:sz w:val="19"/>
              </w:rPr>
              <w:t>r</w:t>
            </w:r>
            <w:r>
              <w:rPr>
                <w:spacing w:val="-1"/>
                <w:w w:val="108"/>
                <w:sz w:val="19"/>
              </w:rPr>
              <w:t>i</w:t>
            </w:r>
            <w:r>
              <w:rPr>
                <w:spacing w:val="3"/>
                <w:w w:val="120"/>
                <w:sz w:val="19"/>
              </w:rPr>
              <w:t>n</w:t>
            </w:r>
            <w:r>
              <w:rPr>
                <w:w w:val="116"/>
                <w:sz w:val="19"/>
              </w:rPr>
              <w:t>a</w:t>
            </w:r>
            <w:r>
              <w:rPr>
                <w:spacing w:val="1"/>
                <w:w w:val="113"/>
                <w:sz w:val="19"/>
              </w:rPr>
              <w:t>b</w:t>
            </w:r>
            <w:r>
              <w:rPr>
                <w:spacing w:val="3"/>
                <w:w w:val="113"/>
                <w:sz w:val="19"/>
              </w:rPr>
              <w:t>o</w:t>
            </w:r>
            <w:r>
              <w:rPr>
                <w:w w:val="108"/>
                <w:sz w:val="19"/>
              </w:rPr>
              <w:t>l</w:t>
            </w:r>
            <w:r>
              <w:rPr>
                <w:spacing w:val="2"/>
                <w:sz w:val="19"/>
              </w:rPr>
              <w:t> </w:t>
            </w:r>
            <w:r>
              <w:rPr>
                <w:spacing w:val="-2"/>
                <w:w w:val="103"/>
                <w:sz w:val="19"/>
              </w:rPr>
              <w:t>1</w:t>
            </w:r>
            <w:r>
              <w:rPr>
                <w:spacing w:val="4"/>
                <w:w w:val="103"/>
                <w:sz w:val="19"/>
              </w:rPr>
              <w:t>0</w:t>
            </w:r>
            <w:r>
              <w:rPr>
                <w:spacing w:val="1"/>
                <w:w w:val="103"/>
                <w:sz w:val="19"/>
              </w:rPr>
              <w:t>0</w:t>
            </w:r>
            <w:r>
              <w:rPr>
                <w:w w:val="103"/>
                <w:sz w:val="19"/>
              </w:rPr>
              <w:t>0</w:t>
            </w:r>
            <w:r>
              <w:rPr>
                <w:spacing w:val="1"/>
                <w:w w:val="103"/>
                <w:sz w:val="19"/>
              </w:rPr>
              <w:t>0</w:t>
            </w:r>
            <w:r>
              <w:rPr>
                <w:w w:val="103"/>
                <w:sz w:val="19"/>
              </w:rPr>
              <w:t>,</w:t>
            </w:r>
            <w:r>
              <w:rPr>
                <w:spacing w:val="4"/>
                <w:sz w:val="19"/>
              </w:rPr>
              <w:t> </w:t>
            </w:r>
            <w:r>
              <w:rPr>
                <w:spacing w:val="2"/>
                <w:w w:val="114"/>
                <w:sz w:val="19"/>
              </w:rPr>
              <w:t>b</w:t>
            </w:r>
            <w:r>
              <w:rPr>
                <w:spacing w:val="-1"/>
                <w:w w:val="112"/>
                <w:sz w:val="19"/>
              </w:rPr>
              <w:t>o</w:t>
            </w:r>
            <w:r>
              <w:rPr>
                <w:w w:val="108"/>
                <w:sz w:val="19"/>
              </w:rPr>
              <w:t>l</w:t>
            </w:r>
            <w:r>
              <w:rPr>
                <w:spacing w:val="2"/>
                <w:w w:val="126"/>
                <w:sz w:val="19"/>
              </w:rPr>
              <w:t>d</w:t>
            </w:r>
            <w:r>
              <w:rPr>
                <w:spacing w:val="1"/>
                <w:w w:val="111"/>
                <w:sz w:val="19"/>
              </w:rPr>
              <w:t>e</w:t>
            </w:r>
            <w:r>
              <w:rPr>
                <w:spacing w:val="3"/>
                <w:w w:val="120"/>
                <w:sz w:val="19"/>
              </w:rPr>
              <w:t>n</w:t>
            </w:r>
            <w:r>
              <w:rPr>
                <w:spacing w:val="-1"/>
                <w:w w:val="112"/>
                <w:sz w:val="19"/>
              </w:rPr>
              <w:t>o</w:t>
            </w:r>
            <w:r>
              <w:rPr>
                <w:spacing w:val="3"/>
                <w:w w:val="120"/>
                <w:sz w:val="19"/>
              </w:rPr>
              <w:t>n</w:t>
            </w:r>
            <w:r>
              <w:rPr>
                <w:spacing w:val="2"/>
                <w:w w:val="111"/>
                <w:sz w:val="19"/>
              </w:rPr>
              <w:t>e</w:t>
            </w:r>
            <w:r>
              <w:rPr>
                <w:w w:val="103"/>
                <w:sz w:val="19"/>
              </w:rPr>
              <w:t>,</w:t>
            </w:r>
            <w:r>
              <w:rPr>
                <w:sz w:val="19"/>
              </w:rPr>
              <w:t> </w:t>
            </w:r>
            <w:r>
              <w:rPr>
                <w:spacing w:val="4"/>
                <w:w w:val="103"/>
                <w:sz w:val="19"/>
              </w:rPr>
              <w:t>1</w:t>
            </w:r>
            <w:r>
              <w:rPr>
                <w:w w:val="103"/>
                <w:sz w:val="19"/>
              </w:rPr>
              <w:t>-</w:t>
            </w:r>
            <w:r>
              <w:rPr>
                <w:spacing w:val="1"/>
                <w:w w:val="115"/>
                <w:sz w:val="19"/>
              </w:rPr>
              <w:t>tes</w:t>
            </w:r>
            <w:r>
              <w:rPr>
                <w:spacing w:val="3"/>
                <w:w w:val="115"/>
                <w:sz w:val="19"/>
              </w:rPr>
              <w:t>t</w:t>
            </w:r>
            <w:r>
              <w:rPr>
                <w:spacing w:val="-1"/>
                <w:w w:val="112"/>
                <w:sz w:val="19"/>
              </w:rPr>
              <w:t>o</w:t>
            </w:r>
            <w:r>
              <w:rPr>
                <w:spacing w:val="2"/>
                <w:w w:val="103"/>
                <w:sz w:val="19"/>
              </w:rPr>
              <w:t>c</w:t>
            </w:r>
            <w:r>
              <w:rPr>
                <w:spacing w:val="1"/>
                <w:w w:val="116"/>
                <w:sz w:val="19"/>
              </w:rPr>
              <w:t>ter</w:t>
            </w:r>
            <w:r>
              <w:rPr>
                <w:spacing w:val="4"/>
                <w:w w:val="116"/>
                <w:sz w:val="19"/>
              </w:rPr>
              <w:t>o</w:t>
            </w:r>
            <w:r>
              <w:rPr>
                <w:spacing w:val="1"/>
                <w:w w:val="116"/>
                <w:sz w:val="19"/>
              </w:rPr>
              <w:t>n</w:t>
            </w:r>
            <w:r>
              <w:rPr>
                <w:w w:val="116"/>
                <w:sz w:val="19"/>
              </w:rPr>
              <w:t>e</w:t>
            </w:r>
            <w:r>
              <w:rPr>
                <w:spacing w:val="3"/>
                <w:sz w:val="19"/>
              </w:rPr>
              <w:t> </w:t>
            </w:r>
            <w:r>
              <w:rPr>
                <w:spacing w:val="1"/>
                <w:w w:val="103"/>
                <w:sz w:val="19"/>
              </w:rPr>
              <w:t>(</w:t>
            </w:r>
            <w:r>
              <w:rPr>
                <w:w w:val="103"/>
                <w:sz w:val="19"/>
              </w:rPr>
              <w:t>5</w:t>
            </w:r>
            <w:r>
              <w:rPr>
                <w:spacing w:val="2"/>
                <w:sz w:val="19"/>
              </w:rPr>
              <w:t> </w:t>
            </w:r>
            <w:r>
              <w:rPr>
                <w:spacing w:val="4"/>
                <w:w w:val="120"/>
                <w:sz w:val="19"/>
              </w:rPr>
              <w:t>n</w:t>
            </w:r>
            <w:r>
              <w:rPr>
                <w:spacing w:val="-1"/>
                <w:w w:val="115"/>
                <w:sz w:val="19"/>
              </w:rPr>
              <w:t>g</w:t>
            </w:r>
            <w:r>
              <w:rPr>
                <w:spacing w:val="-1"/>
                <w:w w:val="225"/>
                <w:sz w:val="19"/>
              </w:rPr>
              <w:t>/</w:t>
            </w:r>
            <w:r>
              <w:rPr>
                <w:spacing w:val="5"/>
                <w:w w:val="117"/>
                <w:sz w:val="19"/>
              </w:rPr>
              <w:t>m</w:t>
            </w:r>
            <w:r>
              <w:rPr>
                <w:spacing w:val="1"/>
                <w:w w:val="105"/>
                <w:sz w:val="19"/>
              </w:rPr>
              <w:t>l)</w:t>
            </w:r>
          </w:p>
        </w:tc>
        <w:tc>
          <w:tcPr>
            <w:tcW w:w="2410" w:type="dxa"/>
          </w:tcPr>
          <w:p>
            <w:pPr>
              <w:pStyle w:val="TableParagraph"/>
              <w:spacing w:before="5"/>
              <w:ind w:left="105" w:right="27"/>
              <w:rPr>
                <w:sz w:val="19"/>
              </w:rPr>
            </w:pPr>
            <w:r>
              <w:rPr>
                <w:w w:val="115"/>
                <w:sz w:val="19"/>
              </w:rPr>
              <w:t>Negative findings</w:t>
            </w:r>
          </w:p>
        </w:tc>
      </w:tr>
    </w:tbl>
    <w:p>
      <w:pPr>
        <w:spacing w:after="0"/>
        <w:rPr>
          <w:sz w:val="19"/>
        </w:rPr>
        <w:sectPr>
          <w:pgSz w:w="12240" w:h="15840"/>
          <w:pgMar w:header="0" w:footer="705" w:top="1440" w:bottom="900" w:left="1680" w:right="1220"/>
        </w:sect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91"/>
        <w:gridCol w:w="5386"/>
        <w:gridCol w:w="2410"/>
      </w:tblGrid>
      <w:tr>
        <w:trPr>
          <w:trHeight w:val="486" w:hRule="exact"/>
        </w:trPr>
        <w:tc>
          <w:tcPr>
            <w:tcW w:w="1291" w:type="dxa"/>
            <w:tcBorders>
              <w:left w:val="single" w:sz="5" w:space="0" w:color="000000"/>
              <w:bottom w:val="single" w:sz="5" w:space="0" w:color="000000"/>
              <w:right w:val="single" w:sz="5" w:space="0" w:color="000000"/>
            </w:tcBorders>
          </w:tcPr>
          <w:p>
            <w:pPr>
              <w:pStyle w:val="TableParagraph"/>
              <w:spacing w:line="217" w:lineRule="exact"/>
              <w:rPr>
                <w:sz w:val="19"/>
              </w:rPr>
            </w:pPr>
            <w:r>
              <w:rPr>
                <w:w w:val="105"/>
                <w:sz w:val="19"/>
              </w:rPr>
              <w:t>16</w:t>
            </w:r>
          </w:p>
        </w:tc>
        <w:tc>
          <w:tcPr>
            <w:tcW w:w="5386" w:type="dxa"/>
            <w:tcBorders>
              <w:left w:val="single" w:sz="5" w:space="0" w:color="000000"/>
              <w:bottom w:val="single" w:sz="5" w:space="0" w:color="000000"/>
              <w:right w:val="single" w:sz="5" w:space="0" w:color="000000"/>
            </w:tcBorders>
          </w:tcPr>
          <w:p>
            <w:pPr>
              <w:pStyle w:val="TableParagraph"/>
              <w:spacing w:line="217" w:lineRule="exact"/>
              <w:ind w:right="5"/>
              <w:rPr>
                <w:sz w:val="19"/>
              </w:rPr>
            </w:pPr>
            <w:r>
              <w:rPr>
                <w:w w:val="115"/>
                <w:sz w:val="19"/>
              </w:rPr>
              <w:t>oxandrolone 20000, boldenone, 1-testosterone (5 ng/ml)</w:t>
            </w:r>
          </w:p>
        </w:tc>
        <w:tc>
          <w:tcPr>
            <w:tcW w:w="2410" w:type="dxa"/>
            <w:tcBorders>
              <w:left w:val="single" w:sz="5" w:space="0" w:color="000000"/>
              <w:bottom w:val="single" w:sz="5" w:space="0" w:color="000000"/>
              <w:right w:val="single" w:sz="5" w:space="0" w:color="000000"/>
            </w:tcBorders>
          </w:tcPr>
          <w:p>
            <w:pPr>
              <w:pStyle w:val="TableParagraph"/>
              <w:spacing w:line="217" w:lineRule="exact"/>
              <w:ind w:left="105" w:right="27"/>
              <w:rPr>
                <w:sz w:val="19"/>
              </w:rPr>
            </w:pPr>
            <w:r>
              <w:rPr>
                <w:w w:val="115"/>
                <w:sz w:val="19"/>
              </w:rPr>
              <w:t>Negative findings</w:t>
            </w:r>
          </w:p>
        </w:tc>
      </w:tr>
      <w:tr>
        <w:trPr>
          <w:trHeight w:val="974" w:hRule="exact"/>
        </w:trPr>
        <w:tc>
          <w:tcPr>
            <w:tcW w:w="1291" w:type="dxa"/>
            <w:tcBorders>
              <w:top w:val="single" w:sz="5" w:space="0" w:color="000000"/>
              <w:left w:val="single" w:sz="5" w:space="0" w:color="000000"/>
              <w:bottom w:val="single" w:sz="5" w:space="0" w:color="000000"/>
              <w:right w:val="single" w:sz="5" w:space="0" w:color="000000"/>
            </w:tcBorders>
          </w:tcPr>
          <w:p>
            <w:pPr>
              <w:pStyle w:val="TableParagraph"/>
              <w:ind w:left="0"/>
              <w:rPr>
                <w:sz w:val="20"/>
              </w:rPr>
            </w:pPr>
          </w:p>
          <w:p>
            <w:pPr>
              <w:pStyle w:val="TableParagraph"/>
              <w:spacing w:before="9"/>
              <w:ind w:left="0"/>
              <w:rPr>
                <w:sz w:val="21"/>
              </w:rPr>
            </w:pPr>
          </w:p>
          <w:p>
            <w:pPr>
              <w:pStyle w:val="TableParagraph"/>
              <w:rPr>
                <w:sz w:val="19"/>
              </w:rPr>
            </w:pPr>
            <w:r>
              <w:rPr>
                <w:w w:val="105"/>
                <w:sz w:val="19"/>
              </w:rPr>
              <w:t>17</w:t>
            </w:r>
          </w:p>
        </w:tc>
        <w:tc>
          <w:tcPr>
            <w:tcW w:w="5386" w:type="dxa"/>
            <w:tcBorders>
              <w:top w:val="single" w:sz="5" w:space="0" w:color="000000"/>
              <w:left w:val="single" w:sz="5" w:space="0" w:color="000000"/>
              <w:bottom w:val="single" w:sz="5" w:space="0" w:color="000000"/>
              <w:right w:val="single" w:sz="5" w:space="0" w:color="000000"/>
            </w:tcBorders>
          </w:tcPr>
          <w:p>
            <w:pPr>
              <w:pStyle w:val="TableParagraph"/>
              <w:spacing w:line="528" w:lineRule="auto"/>
              <w:ind w:right="5"/>
              <w:rPr>
                <w:sz w:val="19"/>
              </w:rPr>
            </w:pPr>
            <w:r>
              <w:rPr>
                <w:w w:val="115"/>
                <w:sz w:val="19"/>
              </w:rPr>
              <w:t>dehydroepiandrosterone (=DHEA), androsterone (500 </w:t>
            </w:r>
            <w:r>
              <w:rPr>
                <w:w w:val="127"/>
                <w:sz w:val="19"/>
              </w:rPr>
              <w:t>ng/ml), </w:t>
            </w:r>
            <w:r>
              <w:rPr>
                <w:w w:val="116"/>
                <w:sz w:val="19"/>
              </w:rPr>
              <w:t>boldernone </w:t>
            </w:r>
            <w:r>
              <w:rPr>
                <w:w w:val="103"/>
                <w:sz w:val="19"/>
              </w:rPr>
              <w:t>(20 </w:t>
            </w:r>
            <w:r>
              <w:rPr>
                <w:w w:val="126"/>
                <w:sz w:val="19"/>
              </w:rPr>
              <w:t>ng/ml)</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ind w:left="0"/>
              <w:rPr>
                <w:sz w:val="20"/>
              </w:rPr>
            </w:pPr>
          </w:p>
          <w:p>
            <w:pPr>
              <w:pStyle w:val="TableParagraph"/>
              <w:spacing w:before="9"/>
              <w:ind w:left="0"/>
              <w:rPr>
                <w:sz w:val="21"/>
              </w:rPr>
            </w:pPr>
          </w:p>
          <w:p>
            <w:pPr>
              <w:pStyle w:val="TableParagraph"/>
              <w:ind w:left="105" w:right="27"/>
              <w:rPr>
                <w:sz w:val="19"/>
              </w:rPr>
            </w:pPr>
            <w:r>
              <w:rPr>
                <w:w w:val="115"/>
                <w:sz w:val="19"/>
              </w:rPr>
              <w:t>Negative findings</w:t>
            </w:r>
          </w:p>
        </w:tc>
      </w:tr>
      <w:tr>
        <w:trPr>
          <w:trHeight w:val="494" w:hRule="exact"/>
        </w:trPr>
        <w:tc>
          <w:tcPr>
            <w:tcW w:w="1291" w:type="dxa"/>
            <w:tcBorders>
              <w:top w:val="single" w:sz="5" w:space="0" w:color="000000"/>
              <w:left w:val="single" w:sz="5" w:space="0" w:color="000000"/>
              <w:bottom w:val="single" w:sz="5" w:space="0" w:color="000000"/>
              <w:right w:val="single" w:sz="5" w:space="0" w:color="000000"/>
            </w:tcBorders>
          </w:tcPr>
          <w:p>
            <w:pPr>
              <w:pStyle w:val="TableParagraph"/>
              <w:rPr>
                <w:sz w:val="19"/>
              </w:rPr>
            </w:pPr>
            <w:r>
              <w:rPr>
                <w:w w:val="105"/>
                <w:sz w:val="19"/>
              </w:rPr>
              <w:t>18</w:t>
            </w:r>
          </w:p>
        </w:tc>
        <w:tc>
          <w:tcPr>
            <w:tcW w:w="5386" w:type="dxa"/>
            <w:tcBorders>
              <w:top w:val="single" w:sz="5" w:space="0" w:color="000000"/>
              <w:left w:val="single" w:sz="5" w:space="0" w:color="000000"/>
              <w:bottom w:val="single" w:sz="5" w:space="0" w:color="000000"/>
              <w:right w:val="single" w:sz="5" w:space="0" w:color="000000"/>
            </w:tcBorders>
          </w:tcPr>
          <w:p>
            <w:pPr>
              <w:pStyle w:val="TableParagraph"/>
              <w:ind w:right="5"/>
              <w:rPr>
                <w:sz w:val="19"/>
              </w:rPr>
            </w:pPr>
            <w:r>
              <w:rPr>
                <w:w w:val="115"/>
                <w:sz w:val="19"/>
              </w:rPr>
              <w:t>methyltestosterone  (5ng/ml)</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ind w:left="105" w:right="27"/>
              <w:rPr>
                <w:sz w:val="19"/>
              </w:rPr>
            </w:pPr>
            <w:r>
              <w:rPr>
                <w:w w:val="115"/>
                <w:sz w:val="19"/>
              </w:rPr>
              <w:t>Negative findings</w:t>
            </w:r>
          </w:p>
        </w:tc>
      </w:tr>
      <w:tr>
        <w:trPr>
          <w:trHeight w:val="494" w:hRule="exact"/>
        </w:trPr>
        <w:tc>
          <w:tcPr>
            <w:tcW w:w="1291" w:type="dxa"/>
            <w:tcBorders>
              <w:top w:val="single" w:sz="5" w:space="0" w:color="000000"/>
              <w:left w:val="single" w:sz="5" w:space="0" w:color="000000"/>
              <w:bottom w:val="single" w:sz="4" w:space="0" w:color="000000"/>
              <w:right w:val="single" w:sz="5" w:space="0" w:color="000000"/>
            </w:tcBorders>
          </w:tcPr>
          <w:p>
            <w:pPr>
              <w:pStyle w:val="TableParagraph"/>
              <w:spacing w:line="214" w:lineRule="exact"/>
              <w:rPr>
                <w:sz w:val="19"/>
              </w:rPr>
            </w:pPr>
            <w:r>
              <w:rPr>
                <w:w w:val="105"/>
                <w:sz w:val="19"/>
              </w:rPr>
              <w:t>19</w:t>
            </w:r>
          </w:p>
        </w:tc>
        <w:tc>
          <w:tcPr>
            <w:tcW w:w="5386" w:type="dxa"/>
            <w:tcBorders>
              <w:top w:val="single" w:sz="5" w:space="0" w:color="000000"/>
              <w:left w:val="single" w:sz="5" w:space="0" w:color="000000"/>
              <w:bottom w:val="single" w:sz="4" w:space="0" w:color="000000"/>
              <w:right w:val="single" w:sz="5" w:space="0" w:color="000000"/>
            </w:tcBorders>
          </w:tcPr>
          <w:p>
            <w:pPr>
              <w:pStyle w:val="TableParagraph"/>
              <w:spacing w:line="214" w:lineRule="exact"/>
              <w:ind w:right="5"/>
              <w:rPr>
                <w:sz w:val="19"/>
              </w:rPr>
            </w:pPr>
            <w:r>
              <w:rPr>
                <w:w w:val="115"/>
                <w:sz w:val="19"/>
              </w:rPr>
              <w:t>oxandrolone 20000, oralturinabol 20000</w:t>
            </w:r>
          </w:p>
        </w:tc>
        <w:tc>
          <w:tcPr>
            <w:tcW w:w="2410" w:type="dxa"/>
            <w:tcBorders>
              <w:top w:val="single" w:sz="5" w:space="0" w:color="000000"/>
              <w:left w:val="single" w:sz="5" w:space="0" w:color="000000"/>
              <w:bottom w:val="single" w:sz="4" w:space="0" w:color="000000"/>
              <w:right w:val="single" w:sz="5" w:space="0" w:color="000000"/>
            </w:tcBorders>
          </w:tcPr>
          <w:p>
            <w:pPr>
              <w:pStyle w:val="TableParagraph"/>
              <w:spacing w:line="214" w:lineRule="exact"/>
              <w:ind w:left="105" w:right="27"/>
              <w:rPr>
                <w:sz w:val="19"/>
              </w:rPr>
            </w:pPr>
            <w:r>
              <w:rPr>
                <w:w w:val="115"/>
                <w:sz w:val="19"/>
              </w:rPr>
              <w:t>Negative findings</w:t>
            </w:r>
          </w:p>
        </w:tc>
      </w:tr>
      <w:tr>
        <w:trPr>
          <w:trHeight w:val="490" w:hRule="exact"/>
        </w:trPr>
        <w:tc>
          <w:tcPr>
            <w:tcW w:w="1291" w:type="dxa"/>
            <w:tcBorders>
              <w:top w:val="single" w:sz="4" w:space="0" w:color="000000"/>
              <w:left w:val="single" w:sz="5" w:space="0" w:color="000000"/>
              <w:bottom w:val="single" w:sz="5" w:space="0" w:color="000000"/>
              <w:right w:val="single" w:sz="5" w:space="0" w:color="000000"/>
            </w:tcBorders>
          </w:tcPr>
          <w:p>
            <w:pPr>
              <w:pStyle w:val="TableParagraph"/>
              <w:spacing w:line="215" w:lineRule="exact"/>
              <w:rPr>
                <w:sz w:val="19"/>
              </w:rPr>
            </w:pPr>
            <w:r>
              <w:rPr>
                <w:w w:val="105"/>
                <w:sz w:val="19"/>
              </w:rPr>
              <w:t>20</w:t>
            </w:r>
          </w:p>
        </w:tc>
        <w:tc>
          <w:tcPr>
            <w:tcW w:w="5386" w:type="dxa"/>
            <w:tcBorders>
              <w:top w:val="single" w:sz="4" w:space="0" w:color="000000"/>
              <w:left w:val="single" w:sz="5" w:space="0" w:color="000000"/>
              <w:bottom w:val="single" w:sz="5" w:space="0" w:color="000000"/>
              <w:right w:val="single" w:sz="5" w:space="0" w:color="000000"/>
            </w:tcBorders>
          </w:tcPr>
          <w:p>
            <w:pPr>
              <w:pStyle w:val="TableParagraph"/>
              <w:spacing w:line="215" w:lineRule="exact"/>
              <w:ind w:right="5"/>
              <w:rPr>
                <w:sz w:val="19"/>
              </w:rPr>
            </w:pPr>
            <w:r>
              <w:rPr>
                <w:w w:val="115"/>
                <w:sz w:val="19"/>
              </w:rPr>
              <w:t>dehydroepiandrosterone  (=DHEA),  nandrolone (3nd/ml)</w:t>
            </w:r>
          </w:p>
        </w:tc>
        <w:tc>
          <w:tcPr>
            <w:tcW w:w="2410" w:type="dxa"/>
            <w:tcBorders>
              <w:top w:val="single" w:sz="4" w:space="0" w:color="000000"/>
              <w:left w:val="single" w:sz="5" w:space="0" w:color="000000"/>
              <w:bottom w:val="single" w:sz="5" w:space="0" w:color="000000"/>
              <w:right w:val="single" w:sz="5" w:space="0" w:color="000000"/>
            </w:tcBorders>
          </w:tcPr>
          <w:p>
            <w:pPr>
              <w:pStyle w:val="TableParagraph"/>
              <w:spacing w:line="215" w:lineRule="exact"/>
              <w:ind w:left="105" w:right="27"/>
              <w:rPr>
                <w:sz w:val="19"/>
              </w:rPr>
            </w:pPr>
            <w:r>
              <w:rPr>
                <w:w w:val="115"/>
                <w:sz w:val="19"/>
              </w:rPr>
              <w:t>Negative findings</w:t>
            </w:r>
          </w:p>
        </w:tc>
      </w:tr>
      <w:tr>
        <w:trPr>
          <w:trHeight w:val="494" w:hRule="exact"/>
        </w:trPr>
        <w:tc>
          <w:tcPr>
            <w:tcW w:w="1291"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rPr>
                <w:sz w:val="19"/>
              </w:rPr>
            </w:pPr>
            <w:r>
              <w:rPr>
                <w:w w:val="105"/>
                <w:sz w:val="19"/>
              </w:rPr>
              <w:t>21</w:t>
            </w:r>
          </w:p>
        </w:tc>
        <w:tc>
          <w:tcPr>
            <w:tcW w:w="5386"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right="5"/>
              <w:rPr>
                <w:sz w:val="19"/>
              </w:rPr>
            </w:pPr>
            <w:r>
              <w:rPr>
                <w:w w:val="115"/>
                <w:sz w:val="19"/>
              </w:rPr>
              <w:t>clean, EPO analysis not finished</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left="105" w:right="27"/>
              <w:rPr>
                <w:sz w:val="19"/>
              </w:rPr>
            </w:pPr>
            <w:r>
              <w:rPr>
                <w:w w:val="115"/>
                <w:sz w:val="19"/>
              </w:rPr>
              <w:t>Negative Findings</w:t>
            </w:r>
          </w:p>
        </w:tc>
      </w:tr>
      <w:tr>
        <w:trPr>
          <w:trHeight w:val="974" w:hRule="exact"/>
        </w:trPr>
        <w:tc>
          <w:tcPr>
            <w:tcW w:w="1291" w:type="dxa"/>
            <w:tcBorders>
              <w:top w:val="single" w:sz="5" w:space="0" w:color="000000"/>
              <w:left w:val="single" w:sz="5" w:space="0" w:color="000000"/>
              <w:bottom w:val="single" w:sz="5" w:space="0" w:color="000000"/>
              <w:right w:val="single" w:sz="5" w:space="0" w:color="000000"/>
            </w:tcBorders>
          </w:tcPr>
          <w:p>
            <w:pPr>
              <w:pStyle w:val="TableParagraph"/>
              <w:ind w:left="0"/>
              <w:rPr>
                <w:sz w:val="20"/>
              </w:rPr>
            </w:pPr>
          </w:p>
          <w:p>
            <w:pPr>
              <w:pStyle w:val="TableParagraph"/>
              <w:spacing w:before="4"/>
              <w:ind w:left="0"/>
              <w:rPr>
                <w:sz w:val="21"/>
              </w:rPr>
            </w:pPr>
          </w:p>
          <w:p>
            <w:pPr>
              <w:pStyle w:val="TableParagraph"/>
              <w:rPr>
                <w:sz w:val="19"/>
              </w:rPr>
            </w:pPr>
            <w:r>
              <w:rPr>
                <w:w w:val="105"/>
                <w:sz w:val="19"/>
              </w:rPr>
              <w:t>22</w:t>
            </w:r>
          </w:p>
        </w:tc>
        <w:tc>
          <w:tcPr>
            <w:tcW w:w="5386" w:type="dxa"/>
            <w:tcBorders>
              <w:top w:val="single" w:sz="5" w:space="0" w:color="000000"/>
              <w:left w:val="single" w:sz="5" w:space="0" w:color="000000"/>
              <w:bottom w:val="single" w:sz="5" w:space="0" w:color="000000"/>
              <w:right w:val="single" w:sz="5" w:space="0" w:color="000000"/>
            </w:tcBorders>
          </w:tcPr>
          <w:p>
            <w:pPr>
              <w:pStyle w:val="TableParagraph"/>
              <w:tabs>
                <w:tab w:pos="1381" w:val="left" w:leader="none"/>
                <w:tab w:pos="2610" w:val="left" w:leader="none"/>
                <w:tab w:pos="4190" w:val="left" w:leader="none"/>
                <w:tab w:pos="4636" w:val="left" w:leader="none"/>
              </w:tabs>
              <w:spacing w:line="528" w:lineRule="auto"/>
              <w:ind w:right="101"/>
              <w:rPr>
                <w:sz w:val="19"/>
              </w:rPr>
            </w:pPr>
            <w:r>
              <w:rPr>
                <w:w w:val="115"/>
                <w:sz w:val="19"/>
              </w:rPr>
              <w:t>boldenone</w:t>
              <w:tab/>
              <w:t>0.8ng/ml;</w:t>
              <w:tab/>
              <w:t>1-testosterone</w:t>
              <w:tab/>
              <w:t>1</w:t>
              <w:tab/>
              <w:t>ng/ml; methylhexaneamine  120</w:t>
            </w:r>
            <w:r>
              <w:rPr>
                <w:spacing w:val="2"/>
                <w:w w:val="115"/>
                <w:sz w:val="19"/>
              </w:rPr>
              <w:t> </w:t>
            </w:r>
            <w:r>
              <w:rPr>
                <w:w w:val="115"/>
                <w:sz w:val="19"/>
              </w:rPr>
              <w:t>ng/ml</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ind w:left="0"/>
              <w:rPr>
                <w:sz w:val="20"/>
              </w:rPr>
            </w:pPr>
          </w:p>
          <w:p>
            <w:pPr>
              <w:pStyle w:val="TableParagraph"/>
              <w:spacing w:before="4"/>
              <w:ind w:left="0"/>
              <w:rPr>
                <w:sz w:val="21"/>
              </w:rPr>
            </w:pPr>
          </w:p>
          <w:p>
            <w:pPr>
              <w:pStyle w:val="TableParagraph"/>
              <w:ind w:left="105" w:right="27"/>
              <w:rPr>
                <w:sz w:val="19"/>
              </w:rPr>
            </w:pPr>
            <w:r>
              <w:rPr>
                <w:w w:val="115"/>
                <w:sz w:val="19"/>
              </w:rPr>
              <w:t>Negative Findings</w:t>
            </w:r>
          </w:p>
        </w:tc>
      </w:tr>
      <w:tr>
        <w:trPr>
          <w:trHeight w:val="974" w:hRule="exact"/>
        </w:trPr>
        <w:tc>
          <w:tcPr>
            <w:tcW w:w="1291" w:type="dxa"/>
            <w:tcBorders>
              <w:top w:val="single" w:sz="5" w:space="0" w:color="000000"/>
              <w:left w:val="single" w:sz="5" w:space="0" w:color="000000"/>
              <w:bottom w:val="single" w:sz="5" w:space="0" w:color="000000"/>
              <w:right w:val="single" w:sz="5" w:space="0" w:color="000000"/>
            </w:tcBorders>
          </w:tcPr>
          <w:p>
            <w:pPr>
              <w:pStyle w:val="TableParagraph"/>
              <w:ind w:left="0"/>
              <w:rPr>
                <w:sz w:val="20"/>
              </w:rPr>
            </w:pPr>
          </w:p>
          <w:p>
            <w:pPr>
              <w:pStyle w:val="TableParagraph"/>
              <w:spacing w:before="4"/>
              <w:ind w:left="0"/>
              <w:rPr>
                <w:sz w:val="21"/>
              </w:rPr>
            </w:pPr>
          </w:p>
          <w:p>
            <w:pPr>
              <w:pStyle w:val="TableParagraph"/>
              <w:rPr>
                <w:sz w:val="19"/>
              </w:rPr>
            </w:pPr>
            <w:r>
              <w:rPr>
                <w:w w:val="105"/>
                <w:sz w:val="19"/>
              </w:rPr>
              <w:t>23</w:t>
            </w:r>
          </w:p>
        </w:tc>
        <w:tc>
          <w:tcPr>
            <w:tcW w:w="5386" w:type="dxa"/>
            <w:tcBorders>
              <w:top w:val="single" w:sz="5" w:space="0" w:color="000000"/>
              <w:left w:val="single" w:sz="5" w:space="0" w:color="000000"/>
              <w:bottom w:val="single" w:sz="5" w:space="0" w:color="000000"/>
              <w:right w:val="single" w:sz="5" w:space="0" w:color="000000"/>
            </w:tcBorders>
          </w:tcPr>
          <w:p>
            <w:pPr>
              <w:pStyle w:val="TableParagraph"/>
              <w:tabs>
                <w:tab w:pos="1282" w:val="left" w:leader="none"/>
                <w:tab w:pos="1780" w:val="left" w:leader="none"/>
                <w:tab w:pos="2662" w:val="left" w:leader="none"/>
                <w:tab w:pos="4140" w:val="left" w:leader="none"/>
                <w:tab w:pos="4639" w:val="left" w:leader="none"/>
              </w:tabs>
              <w:spacing w:line="214" w:lineRule="exact"/>
              <w:ind w:right="5"/>
              <w:rPr>
                <w:sz w:val="19"/>
              </w:rPr>
            </w:pPr>
            <w:r>
              <w:rPr>
                <w:w w:val="115"/>
                <w:sz w:val="19"/>
              </w:rPr>
              <w:t>boldenone</w:t>
              <w:tab/>
              <w:t>0.3</w:t>
              <w:tab/>
              <w:t>ng/ml;</w:t>
              <w:tab/>
              <w:t>1-testosterone</w:t>
              <w:tab/>
              <w:t>0.3</w:t>
              <w:tab/>
              <w:t>ng/ml;</w:t>
            </w:r>
          </w:p>
          <w:p>
            <w:pPr>
              <w:pStyle w:val="TableParagraph"/>
              <w:spacing w:before="8"/>
              <w:ind w:left="0"/>
              <w:rPr>
                <w:sz w:val="22"/>
              </w:rPr>
            </w:pPr>
          </w:p>
          <w:p>
            <w:pPr>
              <w:pStyle w:val="TableParagraph"/>
              <w:ind w:right="5"/>
              <w:rPr>
                <w:sz w:val="19"/>
              </w:rPr>
            </w:pPr>
            <w:r>
              <w:rPr>
                <w:w w:val="115"/>
                <w:sz w:val="19"/>
              </w:rPr>
              <w:t>methylhexaneamine  60 ng/ml</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ind w:left="0"/>
              <w:rPr>
                <w:sz w:val="20"/>
              </w:rPr>
            </w:pPr>
          </w:p>
          <w:p>
            <w:pPr>
              <w:pStyle w:val="TableParagraph"/>
              <w:spacing w:before="4"/>
              <w:ind w:left="0"/>
              <w:rPr>
                <w:sz w:val="21"/>
              </w:rPr>
            </w:pPr>
          </w:p>
          <w:p>
            <w:pPr>
              <w:pStyle w:val="TableParagraph"/>
              <w:ind w:left="105" w:right="27"/>
              <w:rPr>
                <w:sz w:val="19"/>
              </w:rPr>
            </w:pPr>
            <w:r>
              <w:rPr>
                <w:w w:val="115"/>
                <w:sz w:val="19"/>
              </w:rPr>
              <w:t>Negative Findings</w:t>
            </w:r>
          </w:p>
        </w:tc>
      </w:tr>
      <w:tr>
        <w:trPr>
          <w:trHeight w:val="974" w:hRule="exact"/>
        </w:trPr>
        <w:tc>
          <w:tcPr>
            <w:tcW w:w="1291" w:type="dxa"/>
            <w:tcBorders>
              <w:top w:val="single" w:sz="5" w:space="0" w:color="000000"/>
              <w:left w:val="single" w:sz="5" w:space="0" w:color="000000"/>
              <w:bottom w:val="single" w:sz="5" w:space="0" w:color="000000"/>
              <w:right w:val="single" w:sz="5" w:space="0" w:color="000000"/>
            </w:tcBorders>
          </w:tcPr>
          <w:p>
            <w:pPr>
              <w:pStyle w:val="TableParagraph"/>
              <w:ind w:left="0"/>
              <w:rPr>
                <w:sz w:val="20"/>
              </w:rPr>
            </w:pPr>
          </w:p>
          <w:p>
            <w:pPr>
              <w:pStyle w:val="TableParagraph"/>
              <w:spacing w:before="4"/>
              <w:ind w:left="0"/>
              <w:rPr>
                <w:sz w:val="21"/>
              </w:rPr>
            </w:pPr>
          </w:p>
          <w:p>
            <w:pPr>
              <w:pStyle w:val="TableParagraph"/>
              <w:rPr>
                <w:sz w:val="19"/>
              </w:rPr>
            </w:pPr>
            <w:r>
              <w:rPr>
                <w:w w:val="105"/>
                <w:sz w:val="19"/>
              </w:rPr>
              <w:t>24</w:t>
            </w:r>
          </w:p>
        </w:tc>
        <w:tc>
          <w:tcPr>
            <w:tcW w:w="5386" w:type="dxa"/>
            <w:tcBorders>
              <w:top w:val="single" w:sz="5" w:space="0" w:color="000000"/>
              <w:left w:val="single" w:sz="5" w:space="0" w:color="000000"/>
              <w:bottom w:val="single" w:sz="5" w:space="0" w:color="000000"/>
              <w:right w:val="single" w:sz="5" w:space="0" w:color="000000"/>
            </w:tcBorders>
          </w:tcPr>
          <w:p>
            <w:pPr>
              <w:pStyle w:val="TableParagraph"/>
              <w:tabs>
                <w:tab w:pos="1282" w:val="left" w:leader="none"/>
                <w:tab w:pos="1780" w:val="left" w:leader="none"/>
                <w:tab w:pos="2662" w:val="left" w:leader="none"/>
                <w:tab w:pos="4140" w:val="left" w:leader="none"/>
                <w:tab w:pos="4639" w:val="left" w:leader="none"/>
              </w:tabs>
              <w:spacing w:line="214" w:lineRule="exact"/>
              <w:ind w:right="5"/>
              <w:rPr>
                <w:sz w:val="19"/>
              </w:rPr>
            </w:pPr>
            <w:r>
              <w:rPr>
                <w:w w:val="115"/>
                <w:sz w:val="19"/>
              </w:rPr>
              <w:t>boldenone</w:t>
              <w:tab/>
              <w:t>0.4</w:t>
              <w:tab/>
              <w:t>ng/ml;</w:t>
              <w:tab/>
              <w:t>1-testosterone</w:t>
              <w:tab/>
              <w:t>0.6</w:t>
              <w:tab/>
              <w:t>ng/ml;</w:t>
            </w:r>
          </w:p>
          <w:p>
            <w:pPr>
              <w:pStyle w:val="TableParagraph"/>
              <w:spacing w:before="8"/>
              <w:ind w:left="0"/>
              <w:rPr>
                <w:sz w:val="22"/>
              </w:rPr>
            </w:pPr>
          </w:p>
          <w:p>
            <w:pPr>
              <w:pStyle w:val="TableParagraph"/>
              <w:ind w:right="5"/>
              <w:rPr>
                <w:sz w:val="19"/>
              </w:rPr>
            </w:pPr>
            <w:r>
              <w:rPr>
                <w:w w:val="115"/>
                <w:sz w:val="19"/>
              </w:rPr>
              <w:t>methylhexaneamine  90 ng/ml</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ind w:left="0"/>
              <w:rPr>
                <w:sz w:val="20"/>
              </w:rPr>
            </w:pPr>
          </w:p>
          <w:p>
            <w:pPr>
              <w:pStyle w:val="TableParagraph"/>
              <w:spacing w:before="4"/>
              <w:ind w:left="0"/>
              <w:rPr>
                <w:sz w:val="21"/>
              </w:rPr>
            </w:pPr>
          </w:p>
          <w:p>
            <w:pPr>
              <w:pStyle w:val="TableParagraph"/>
              <w:ind w:left="105" w:right="27"/>
              <w:rPr>
                <w:sz w:val="19"/>
              </w:rPr>
            </w:pPr>
            <w:r>
              <w:rPr>
                <w:w w:val="115"/>
                <w:sz w:val="19"/>
              </w:rPr>
              <w:t>Negative Findings</w:t>
            </w:r>
          </w:p>
        </w:tc>
      </w:tr>
      <w:tr>
        <w:trPr>
          <w:trHeight w:val="490" w:hRule="exact"/>
        </w:trPr>
        <w:tc>
          <w:tcPr>
            <w:tcW w:w="1291"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rPr>
                <w:sz w:val="19"/>
              </w:rPr>
            </w:pPr>
            <w:r>
              <w:rPr>
                <w:w w:val="105"/>
                <w:sz w:val="19"/>
              </w:rPr>
              <w:t>25</w:t>
            </w:r>
          </w:p>
        </w:tc>
        <w:tc>
          <w:tcPr>
            <w:tcW w:w="5386"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right="5"/>
              <w:rPr>
                <w:sz w:val="19"/>
              </w:rPr>
            </w:pPr>
            <w:r>
              <w:rPr>
                <w:w w:val="113"/>
                <w:sz w:val="19"/>
              </w:rPr>
              <w:t>b</w:t>
            </w:r>
            <w:r>
              <w:rPr>
                <w:spacing w:val="3"/>
                <w:w w:val="113"/>
                <w:sz w:val="19"/>
              </w:rPr>
              <w:t>o</w:t>
            </w:r>
            <w:r>
              <w:rPr>
                <w:spacing w:val="1"/>
                <w:w w:val="108"/>
                <w:sz w:val="19"/>
              </w:rPr>
              <w:t>l</w:t>
            </w:r>
            <w:r>
              <w:rPr>
                <w:spacing w:val="1"/>
                <w:w w:val="126"/>
                <w:sz w:val="19"/>
              </w:rPr>
              <w:t>d</w:t>
            </w:r>
            <w:r>
              <w:rPr>
                <w:spacing w:val="2"/>
                <w:w w:val="111"/>
                <w:sz w:val="19"/>
              </w:rPr>
              <w:t>e</w:t>
            </w:r>
            <w:r>
              <w:rPr>
                <w:w w:val="120"/>
                <w:sz w:val="19"/>
              </w:rPr>
              <w:t>n</w:t>
            </w:r>
            <w:r>
              <w:rPr>
                <w:spacing w:val="3"/>
                <w:w w:val="112"/>
                <w:sz w:val="19"/>
              </w:rPr>
              <w:t>o</w:t>
            </w:r>
            <w:r>
              <w:rPr>
                <w:spacing w:val="-1"/>
                <w:w w:val="120"/>
                <w:sz w:val="19"/>
              </w:rPr>
              <w:t>n</w:t>
            </w:r>
            <w:r>
              <w:rPr>
                <w:w w:val="111"/>
                <w:sz w:val="19"/>
              </w:rPr>
              <w:t>e</w:t>
            </w:r>
            <w:r>
              <w:rPr>
                <w:spacing w:val="5"/>
                <w:sz w:val="19"/>
              </w:rPr>
              <w:t> </w:t>
            </w:r>
            <w:r>
              <w:rPr>
                <w:spacing w:val="1"/>
                <w:w w:val="103"/>
                <w:sz w:val="19"/>
              </w:rPr>
              <w:t>0</w:t>
            </w:r>
            <w:r>
              <w:rPr>
                <w:spacing w:val="2"/>
                <w:w w:val="103"/>
                <w:sz w:val="19"/>
              </w:rPr>
              <w:t>.</w:t>
            </w:r>
            <w:r>
              <w:rPr>
                <w:w w:val="103"/>
                <w:sz w:val="19"/>
              </w:rPr>
              <w:t>6</w:t>
            </w:r>
            <w:r>
              <w:rPr>
                <w:spacing w:val="1"/>
                <w:sz w:val="19"/>
              </w:rPr>
              <w:t> </w:t>
            </w:r>
            <w:r>
              <w:rPr>
                <w:spacing w:val="3"/>
                <w:w w:val="120"/>
                <w:sz w:val="19"/>
              </w:rPr>
              <w:t>n</w:t>
            </w:r>
            <w:r>
              <w:rPr>
                <w:w w:val="154"/>
                <w:sz w:val="19"/>
              </w:rPr>
              <w:t>g</w:t>
            </w:r>
            <w:r>
              <w:rPr>
                <w:spacing w:val="2"/>
                <w:w w:val="154"/>
                <w:sz w:val="19"/>
              </w:rPr>
              <w:t>/</w:t>
            </w:r>
            <w:r>
              <w:rPr>
                <w:spacing w:val="4"/>
                <w:w w:val="117"/>
                <w:sz w:val="19"/>
              </w:rPr>
              <w:t>m</w:t>
            </w:r>
            <w:r>
              <w:rPr>
                <w:spacing w:val="-1"/>
                <w:w w:val="108"/>
                <w:sz w:val="19"/>
              </w:rPr>
              <w:t>l</w:t>
            </w:r>
            <w:r>
              <w:rPr>
                <w:w w:val="93"/>
                <w:sz w:val="19"/>
              </w:rPr>
              <w:t>;</w:t>
            </w:r>
            <w:r>
              <w:rPr>
                <w:spacing w:val="6"/>
                <w:sz w:val="19"/>
              </w:rPr>
              <w:t> </w:t>
            </w:r>
            <w:r>
              <w:rPr>
                <w:spacing w:val="-2"/>
                <w:w w:val="103"/>
                <w:sz w:val="19"/>
              </w:rPr>
              <w:t>1</w:t>
            </w:r>
            <w:r>
              <w:rPr>
                <w:spacing w:val="1"/>
                <w:w w:val="103"/>
                <w:sz w:val="19"/>
              </w:rPr>
              <w:t>-</w:t>
            </w:r>
            <w:r>
              <w:rPr>
                <w:spacing w:val="-1"/>
                <w:w w:val="121"/>
                <w:sz w:val="19"/>
              </w:rPr>
              <w:t>t</w:t>
            </w:r>
            <w:r>
              <w:rPr>
                <w:spacing w:val="2"/>
                <w:w w:val="111"/>
                <w:sz w:val="19"/>
              </w:rPr>
              <w:t>e</w:t>
            </w:r>
            <w:r>
              <w:rPr>
                <w:w w:val="112"/>
                <w:sz w:val="19"/>
              </w:rPr>
              <w:t>s</w:t>
            </w:r>
            <w:r>
              <w:rPr>
                <w:spacing w:val="3"/>
                <w:w w:val="121"/>
                <w:sz w:val="19"/>
              </w:rPr>
              <w:t>t</w:t>
            </w:r>
            <w:r>
              <w:rPr>
                <w:spacing w:val="-1"/>
                <w:w w:val="112"/>
                <w:sz w:val="19"/>
              </w:rPr>
              <w:t>o</w:t>
            </w:r>
            <w:r>
              <w:rPr>
                <w:w w:val="116"/>
                <w:sz w:val="19"/>
              </w:rPr>
              <w:t>s</w:t>
            </w:r>
            <w:r>
              <w:rPr>
                <w:spacing w:val="3"/>
                <w:w w:val="116"/>
                <w:sz w:val="19"/>
              </w:rPr>
              <w:t>t</w:t>
            </w:r>
            <w:r>
              <w:rPr>
                <w:w w:val="115"/>
                <w:sz w:val="19"/>
              </w:rPr>
              <w:t>er</w:t>
            </w:r>
            <w:r>
              <w:rPr>
                <w:spacing w:val="4"/>
                <w:w w:val="115"/>
                <w:sz w:val="19"/>
              </w:rPr>
              <w:t>o</w:t>
            </w:r>
            <w:r>
              <w:rPr>
                <w:spacing w:val="1"/>
                <w:w w:val="120"/>
                <w:sz w:val="19"/>
              </w:rPr>
              <w:t>n</w:t>
            </w:r>
            <w:r>
              <w:rPr>
                <w:w w:val="111"/>
                <w:sz w:val="19"/>
              </w:rPr>
              <w:t>e</w:t>
            </w:r>
            <w:r>
              <w:rPr>
                <w:spacing w:val="4"/>
                <w:sz w:val="19"/>
              </w:rPr>
              <w:t> </w:t>
            </w:r>
            <w:r>
              <w:rPr>
                <w:spacing w:val="1"/>
                <w:w w:val="103"/>
                <w:sz w:val="19"/>
              </w:rPr>
              <w:t>0</w:t>
            </w:r>
            <w:r>
              <w:rPr>
                <w:spacing w:val="2"/>
                <w:w w:val="103"/>
                <w:sz w:val="19"/>
              </w:rPr>
              <w:t>.</w:t>
            </w:r>
            <w:r>
              <w:rPr>
                <w:w w:val="103"/>
                <w:sz w:val="19"/>
              </w:rPr>
              <w:t>7</w:t>
            </w:r>
            <w:r>
              <w:rPr>
                <w:spacing w:val="2"/>
                <w:sz w:val="19"/>
              </w:rPr>
              <w:t> </w:t>
            </w:r>
            <w:r>
              <w:rPr>
                <w:spacing w:val="3"/>
                <w:w w:val="120"/>
                <w:sz w:val="19"/>
              </w:rPr>
              <w:t>n</w:t>
            </w:r>
            <w:r>
              <w:rPr>
                <w:spacing w:val="-1"/>
                <w:w w:val="115"/>
                <w:sz w:val="19"/>
              </w:rPr>
              <w:t>g</w:t>
            </w:r>
            <w:r>
              <w:rPr>
                <w:spacing w:val="3"/>
                <w:w w:val="225"/>
                <w:sz w:val="19"/>
              </w:rPr>
              <w:t>/</w:t>
            </w:r>
            <w:r>
              <w:rPr>
                <w:spacing w:val="2"/>
                <w:w w:val="117"/>
                <w:sz w:val="19"/>
              </w:rPr>
              <w:t>m</w:t>
            </w:r>
            <w:r>
              <w:rPr>
                <w:w w:val="108"/>
                <w:sz w:val="19"/>
              </w:rPr>
              <w:t>l</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left="105" w:right="27"/>
              <w:rPr>
                <w:sz w:val="19"/>
              </w:rPr>
            </w:pPr>
            <w:r>
              <w:rPr>
                <w:w w:val="115"/>
                <w:sz w:val="19"/>
              </w:rPr>
              <w:t>Negative Findings</w:t>
            </w:r>
          </w:p>
        </w:tc>
      </w:tr>
      <w:tr>
        <w:trPr>
          <w:trHeight w:val="494" w:hRule="exact"/>
        </w:trPr>
        <w:tc>
          <w:tcPr>
            <w:tcW w:w="1291"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rPr>
                <w:sz w:val="19"/>
              </w:rPr>
            </w:pPr>
            <w:r>
              <w:rPr>
                <w:w w:val="105"/>
                <w:sz w:val="19"/>
              </w:rPr>
              <w:t>26</w:t>
            </w:r>
          </w:p>
        </w:tc>
        <w:tc>
          <w:tcPr>
            <w:tcW w:w="5386"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right="5"/>
              <w:rPr>
                <w:sz w:val="19"/>
              </w:rPr>
            </w:pPr>
            <w:r>
              <w:rPr>
                <w:w w:val="114"/>
                <w:sz w:val="19"/>
              </w:rPr>
              <w:t>b</w:t>
            </w:r>
            <w:r>
              <w:rPr>
                <w:spacing w:val="3"/>
                <w:w w:val="112"/>
                <w:sz w:val="19"/>
              </w:rPr>
              <w:t>o</w:t>
            </w:r>
            <w:r>
              <w:rPr>
                <w:spacing w:val="2"/>
                <w:w w:val="119"/>
                <w:sz w:val="19"/>
              </w:rPr>
              <w:t>l</w:t>
            </w:r>
            <w:r>
              <w:rPr>
                <w:spacing w:val="1"/>
                <w:w w:val="119"/>
                <w:sz w:val="19"/>
              </w:rPr>
              <w:t>d</w:t>
            </w:r>
            <w:r>
              <w:rPr>
                <w:spacing w:val="2"/>
                <w:w w:val="116"/>
                <w:sz w:val="19"/>
              </w:rPr>
              <w:t>e</w:t>
            </w:r>
            <w:r>
              <w:rPr>
                <w:w w:val="116"/>
                <w:sz w:val="19"/>
              </w:rPr>
              <w:t>n</w:t>
            </w:r>
            <w:r>
              <w:rPr>
                <w:spacing w:val="2"/>
                <w:w w:val="116"/>
                <w:sz w:val="19"/>
              </w:rPr>
              <w:t>o</w:t>
            </w:r>
            <w:r>
              <w:rPr>
                <w:spacing w:val="-1"/>
                <w:w w:val="116"/>
                <w:sz w:val="19"/>
              </w:rPr>
              <w:t>n</w:t>
            </w:r>
            <w:r>
              <w:rPr>
                <w:w w:val="111"/>
                <w:sz w:val="19"/>
              </w:rPr>
              <w:t>e</w:t>
            </w:r>
            <w:r>
              <w:rPr>
                <w:spacing w:val="6"/>
                <w:sz w:val="19"/>
              </w:rPr>
              <w:t> </w:t>
            </w:r>
            <w:r>
              <w:rPr>
                <w:w w:val="103"/>
                <w:sz w:val="19"/>
              </w:rPr>
              <w:t>1</w:t>
            </w:r>
            <w:r>
              <w:rPr>
                <w:spacing w:val="5"/>
                <w:sz w:val="19"/>
              </w:rPr>
              <w:t> </w:t>
            </w:r>
            <w:r>
              <w:rPr>
                <w:spacing w:val="-1"/>
                <w:w w:val="120"/>
                <w:sz w:val="19"/>
              </w:rPr>
              <w:t>n</w:t>
            </w:r>
            <w:r>
              <w:rPr>
                <w:spacing w:val="-1"/>
                <w:w w:val="115"/>
                <w:sz w:val="19"/>
              </w:rPr>
              <w:t>g</w:t>
            </w:r>
            <w:r>
              <w:rPr>
                <w:spacing w:val="4"/>
                <w:w w:val="225"/>
                <w:sz w:val="19"/>
              </w:rPr>
              <w:t>/</w:t>
            </w:r>
            <w:r>
              <w:rPr>
                <w:spacing w:val="1"/>
                <w:w w:val="117"/>
                <w:sz w:val="19"/>
              </w:rPr>
              <w:t>m</w:t>
            </w:r>
            <w:r>
              <w:rPr>
                <w:spacing w:val="3"/>
                <w:w w:val="108"/>
                <w:sz w:val="19"/>
              </w:rPr>
              <w:t>l</w:t>
            </w:r>
            <w:r>
              <w:rPr>
                <w:w w:val="93"/>
                <w:sz w:val="19"/>
              </w:rPr>
              <w:t>;</w:t>
            </w:r>
            <w:r>
              <w:rPr>
                <w:spacing w:val="1"/>
                <w:sz w:val="19"/>
              </w:rPr>
              <w:t> </w:t>
            </w:r>
            <w:r>
              <w:rPr>
                <w:spacing w:val="1"/>
                <w:w w:val="103"/>
                <w:sz w:val="19"/>
              </w:rPr>
              <w:t>1</w:t>
            </w:r>
            <w:r>
              <w:rPr>
                <w:spacing w:val="2"/>
                <w:w w:val="111"/>
                <w:sz w:val="19"/>
              </w:rPr>
              <w:t>-</w:t>
            </w:r>
            <w:r>
              <w:rPr>
                <w:spacing w:val="-1"/>
                <w:w w:val="111"/>
                <w:sz w:val="19"/>
              </w:rPr>
              <w:t>t</w:t>
            </w:r>
            <w:r>
              <w:rPr>
                <w:spacing w:val="2"/>
                <w:w w:val="114"/>
                <w:sz w:val="19"/>
              </w:rPr>
              <w:t>est</w:t>
            </w:r>
            <w:r>
              <w:rPr>
                <w:w w:val="114"/>
                <w:sz w:val="19"/>
              </w:rPr>
              <w:t>o</w:t>
            </w:r>
            <w:r>
              <w:rPr>
                <w:w w:val="112"/>
                <w:sz w:val="19"/>
              </w:rPr>
              <w:t>s</w:t>
            </w:r>
            <w:r>
              <w:rPr>
                <w:spacing w:val="4"/>
                <w:w w:val="121"/>
                <w:sz w:val="19"/>
              </w:rPr>
              <w:t>t</w:t>
            </w:r>
            <w:r>
              <w:rPr>
                <w:spacing w:val="-2"/>
                <w:w w:val="111"/>
                <w:sz w:val="19"/>
              </w:rPr>
              <w:t>e</w:t>
            </w:r>
            <w:r>
              <w:rPr>
                <w:spacing w:val="2"/>
                <w:w w:val="122"/>
                <w:sz w:val="19"/>
              </w:rPr>
              <w:t>r</w:t>
            </w:r>
            <w:r>
              <w:rPr>
                <w:spacing w:val="2"/>
                <w:w w:val="116"/>
                <w:sz w:val="19"/>
              </w:rPr>
              <w:t>o</w:t>
            </w:r>
            <w:r>
              <w:rPr>
                <w:spacing w:val="-1"/>
                <w:w w:val="116"/>
                <w:sz w:val="19"/>
              </w:rPr>
              <w:t>n</w:t>
            </w:r>
            <w:r>
              <w:rPr>
                <w:w w:val="111"/>
                <w:sz w:val="19"/>
              </w:rPr>
              <w:t>e</w:t>
            </w:r>
            <w:r>
              <w:rPr>
                <w:spacing w:val="6"/>
                <w:sz w:val="19"/>
              </w:rPr>
              <w:t> </w:t>
            </w:r>
            <w:r>
              <w:rPr>
                <w:spacing w:val="2"/>
                <w:w w:val="103"/>
                <w:sz w:val="19"/>
              </w:rPr>
              <w:t>2</w:t>
            </w:r>
            <w:r>
              <w:rPr>
                <w:w w:val="103"/>
                <w:sz w:val="19"/>
              </w:rPr>
              <w:t>0</w:t>
            </w:r>
            <w:r>
              <w:rPr>
                <w:spacing w:val="2"/>
                <w:sz w:val="19"/>
              </w:rPr>
              <w:t> </w:t>
            </w:r>
            <w:r>
              <w:rPr>
                <w:spacing w:val="2"/>
                <w:w w:val="117"/>
                <w:sz w:val="19"/>
              </w:rPr>
              <w:t>n</w:t>
            </w:r>
            <w:r>
              <w:rPr>
                <w:spacing w:val="-1"/>
                <w:w w:val="117"/>
                <w:sz w:val="19"/>
              </w:rPr>
              <w:t>g</w:t>
            </w:r>
            <w:r>
              <w:rPr>
                <w:spacing w:val="3"/>
                <w:w w:val="225"/>
                <w:sz w:val="19"/>
              </w:rPr>
              <w:t>/</w:t>
            </w:r>
            <w:r>
              <w:rPr>
                <w:spacing w:val="2"/>
                <w:w w:val="115"/>
                <w:sz w:val="19"/>
              </w:rPr>
              <w:t>ml</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left="105" w:right="27"/>
              <w:rPr>
                <w:sz w:val="19"/>
              </w:rPr>
            </w:pPr>
            <w:r>
              <w:rPr>
                <w:w w:val="115"/>
                <w:sz w:val="19"/>
              </w:rPr>
              <w:t>Negative Findings</w:t>
            </w:r>
          </w:p>
        </w:tc>
      </w:tr>
      <w:tr>
        <w:trPr>
          <w:trHeight w:val="489" w:hRule="exact"/>
        </w:trPr>
        <w:tc>
          <w:tcPr>
            <w:tcW w:w="1291" w:type="dxa"/>
            <w:tcBorders>
              <w:top w:val="single" w:sz="5" w:space="0" w:color="000000"/>
              <w:left w:val="single" w:sz="5" w:space="0" w:color="000000"/>
              <w:bottom w:val="single" w:sz="5" w:space="0" w:color="000000"/>
              <w:right w:val="single" w:sz="5" w:space="0" w:color="000000"/>
            </w:tcBorders>
          </w:tcPr>
          <w:p>
            <w:pPr>
              <w:pStyle w:val="TableParagraph"/>
              <w:spacing w:line="213" w:lineRule="exact"/>
              <w:rPr>
                <w:sz w:val="19"/>
              </w:rPr>
            </w:pPr>
            <w:r>
              <w:rPr>
                <w:w w:val="105"/>
                <w:sz w:val="19"/>
              </w:rPr>
              <w:t>27</w:t>
            </w:r>
          </w:p>
        </w:tc>
        <w:tc>
          <w:tcPr>
            <w:tcW w:w="5386" w:type="dxa"/>
            <w:tcBorders>
              <w:top w:val="single" w:sz="5" w:space="0" w:color="000000"/>
              <w:left w:val="single" w:sz="5" w:space="0" w:color="000000"/>
              <w:bottom w:val="single" w:sz="5" w:space="0" w:color="000000"/>
              <w:right w:val="single" w:sz="5" w:space="0" w:color="000000"/>
            </w:tcBorders>
          </w:tcPr>
          <w:p>
            <w:pPr>
              <w:pStyle w:val="TableParagraph"/>
              <w:spacing w:line="213" w:lineRule="exact"/>
              <w:ind w:right="5"/>
              <w:rPr>
                <w:sz w:val="19"/>
              </w:rPr>
            </w:pPr>
            <w:r>
              <w:rPr>
                <w:w w:val="115"/>
                <w:sz w:val="19"/>
              </w:rPr>
              <w:t>methasterone 20,000; oralturinabol 3,500</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13" w:lineRule="exact"/>
              <w:ind w:left="105" w:right="27"/>
              <w:rPr>
                <w:sz w:val="19"/>
              </w:rPr>
            </w:pPr>
            <w:r>
              <w:rPr>
                <w:w w:val="115"/>
                <w:sz w:val="19"/>
              </w:rPr>
              <w:t>Negative Findings</w:t>
            </w:r>
          </w:p>
        </w:tc>
      </w:tr>
      <w:tr>
        <w:trPr>
          <w:trHeight w:val="495" w:hRule="exact"/>
        </w:trPr>
        <w:tc>
          <w:tcPr>
            <w:tcW w:w="1291"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rPr>
                <w:sz w:val="19"/>
              </w:rPr>
            </w:pPr>
            <w:r>
              <w:rPr>
                <w:w w:val="105"/>
                <w:sz w:val="19"/>
              </w:rPr>
              <w:t>28</w:t>
            </w:r>
          </w:p>
        </w:tc>
        <w:tc>
          <w:tcPr>
            <w:tcW w:w="5386"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right="5"/>
              <w:rPr>
                <w:sz w:val="19"/>
              </w:rPr>
            </w:pPr>
            <w:r>
              <w:rPr>
                <w:w w:val="115"/>
                <w:sz w:val="19"/>
              </w:rPr>
              <w:t>EPO analysis ordered, nor finished, the rest is clean</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left="105" w:right="27"/>
              <w:rPr>
                <w:sz w:val="19"/>
              </w:rPr>
            </w:pPr>
            <w:r>
              <w:rPr>
                <w:w w:val="115"/>
                <w:sz w:val="19"/>
              </w:rPr>
              <w:t>Negative Findings</w:t>
            </w:r>
          </w:p>
        </w:tc>
      </w:tr>
      <w:tr>
        <w:trPr>
          <w:trHeight w:val="490" w:hRule="exact"/>
        </w:trPr>
        <w:tc>
          <w:tcPr>
            <w:tcW w:w="1291"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rPr>
                <w:sz w:val="19"/>
              </w:rPr>
            </w:pPr>
            <w:r>
              <w:rPr>
                <w:w w:val="105"/>
                <w:sz w:val="19"/>
              </w:rPr>
              <w:t>29</w:t>
            </w:r>
          </w:p>
        </w:tc>
        <w:tc>
          <w:tcPr>
            <w:tcW w:w="5386"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right="5"/>
              <w:rPr>
                <w:sz w:val="19"/>
              </w:rPr>
            </w:pPr>
            <w:r>
              <w:rPr>
                <w:w w:val="115"/>
                <w:sz w:val="19"/>
              </w:rPr>
              <w:t>EPO analysis ordered, nor finished, the rest is clean</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left="105" w:right="27"/>
              <w:rPr>
                <w:sz w:val="19"/>
              </w:rPr>
            </w:pPr>
            <w:r>
              <w:rPr>
                <w:w w:val="115"/>
                <w:sz w:val="19"/>
              </w:rPr>
              <w:t>Negative Findings</w:t>
            </w:r>
          </w:p>
        </w:tc>
      </w:tr>
      <w:tr>
        <w:trPr>
          <w:trHeight w:val="494" w:hRule="exact"/>
        </w:trPr>
        <w:tc>
          <w:tcPr>
            <w:tcW w:w="1291" w:type="dxa"/>
            <w:tcBorders>
              <w:top w:val="single" w:sz="5" w:space="0" w:color="000000"/>
              <w:left w:val="single" w:sz="5" w:space="0" w:color="000000"/>
              <w:bottom w:val="single" w:sz="5" w:space="0" w:color="000000"/>
              <w:right w:val="single" w:sz="5" w:space="0" w:color="000000"/>
            </w:tcBorders>
          </w:tcPr>
          <w:p>
            <w:pPr>
              <w:pStyle w:val="TableParagraph"/>
              <w:rPr>
                <w:sz w:val="19"/>
              </w:rPr>
            </w:pPr>
            <w:r>
              <w:rPr>
                <w:w w:val="105"/>
                <w:sz w:val="19"/>
              </w:rPr>
              <w:t>30</w:t>
            </w:r>
          </w:p>
        </w:tc>
        <w:tc>
          <w:tcPr>
            <w:tcW w:w="5386" w:type="dxa"/>
            <w:tcBorders>
              <w:top w:val="single" w:sz="5" w:space="0" w:color="000000"/>
              <w:left w:val="single" w:sz="5" w:space="0" w:color="000000"/>
              <w:bottom w:val="single" w:sz="5" w:space="0" w:color="000000"/>
              <w:right w:val="single" w:sz="5" w:space="0" w:color="000000"/>
            </w:tcBorders>
          </w:tcPr>
          <w:p>
            <w:pPr>
              <w:pStyle w:val="TableParagraph"/>
              <w:ind w:right="5"/>
              <w:rPr>
                <w:sz w:val="19"/>
              </w:rPr>
            </w:pPr>
            <w:r>
              <w:rPr>
                <w:w w:val="115"/>
                <w:sz w:val="19"/>
              </w:rPr>
              <w:t>EPO analysis ordered, nor finished, the rest is clean</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ind w:left="105" w:right="27"/>
              <w:rPr>
                <w:sz w:val="19"/>
              </w:rPr>
            </w:pPr>
            <w:r>
              <w:rPr>
                <w:w w:val="115"/>
                <w:sz w:val="19"/>
              </w:rPr>
              <w:t>Negative Findings</w:t>
            </w:r>
          </w:p>
        </w:tc>
      </w:tr>
      <w:tr>
        <w:trPr>
          <w:trHeight w:val="494" w:hRule="exact"/>
        </w:trPr>
        <w:tc>
          <w:tcPr>
            <w:tcW w:w="1291"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rPr>
                <w:sz w:val="19"/>
              </w:rPr>
            </w:pPr>
            <w:r>
              <w:rPr>
                <w:w w:val="105"/>
                <w:sz w:val="19"/>
              </w:rPr>
              <w:t>31</w:t>
            </w:r>
          </w:p>
        </w:tc>
        <w:tc>
          <w:tcPr>
            <w:tcW w:w="5386"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right="5"/>
              <w:rPr>
                <w:sz w:val="19"/>
              </w:rPr>
            </w:pPr>
            <w:r>
              <w:rPr>
                <w:w w:val="115"/>
                <w:sz w:val="19"/>
              </w:rPr>
              <w:t>EPO analysis ordered, nor finished, the rest is clean</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left="105" w:right="27"/>
              <w:rPr>
                <w:sz w:val="19"/>
              </w:rPr>
            </w:pPr>
            <w:r>
              <w:rPr>
                <w:w w:val="115"/>
                <w:sz w:val="19"/>
              </w:rPr>
              <w:t>Negative Findings</w:t>
            </w:r>
          </w:p>
        </w:tc>
      </w:tr>
      <w:tr>
        <w:trPr>
          <w:trHeight w:val="490" w:hRule="exact"/>
        </w:trPr>
        <w:tc>
          <w:tcPr>
            <w:tcW w:w="1291"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rPr>
                <w:sz w:val="19"/>
              </w:rPr>
            </w:pPr>
            <w:r>
              <w:rPr>
                <w:w w:val="105"/>
                <w:sz w:val="19"/>
              </w:rPr>
              <w:t>32</w:t>
            </w:r>
          </w:p>
        </w:tc>
        <w:tc>
          <w:tcPr>
            <w:tcW w:w="5386"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right="5"/>
              <w:rPr>
                <w:sz w:val="19"/>
              </w:rPr>
            </w:pPr>
            <w:r>
              <w:rPr>
                <w:w w:val="115"/>
                <w:sz w:val="19"/>
              </w:rPr>
              <w:t>EPO analysis ordered, nor finished, the rest is clean</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left="105" w:right="27"/>
              <w:rPr>
                <w:sz w:val="19"/>
              </w:rPr>
            </w:pPr>
            <w:r>
              <w:rPr>
                <w:w w:val="115"/>
                <w:sz w:val="19"/>
              </w:rPr>
              <w:t>Negative Findings</w:t>
            </w:r>
          </w:p>
        </w:tc>
      </w:tr>
      <w:tr>
        <w:trPr>
          <w:trHeight w:val="494" w:hRule="exact"/>
        </w:trPr>
        <w:tc>
          <w:tcPr>
            <w:tcW w:w="1291"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rPr>
                <w:sz w:val="19"/>
              </w:rPr>
            </w:pPr>
            <w:r>
              <w:rPr>
                <w:w w:val="105"/>
                <w:sz w:val="19"/>
              </w:rPr>
              <w:t>33</w:t>
            </w:r>
          </w:p>
        </w:tc>
        <w:tc>
          <w:tcPr>
            <w:tcW w:w="5386"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right="5"/>
              <w:rPr>
                <w:sz w:val="19"/>
              </w:rPr>
            </w:pPr>
            <w:r>
              <w:rPr>
                <w:w w:val="115"/>
                <w:sz w:val="19"/>
              </w:rPr>
              <w:t>EPO analysis ordered, nor finished, the rest is clean</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left="105" w:right="27"/>
              <w:rPr>
                <w:sz w:val="19"/>
              </w:rPr>
            </w:pPr>
            <w:r>
              <w:rPr>
                <w:w w:val="115"/>
                <w:sz w:val="19"/>
              </w:rPr>
              <w:t>Negative Findings</w:t>
            </w:r>
          </w:p>
        </w:tc>
      </w:tr>
      <w:tr>
        <w:trPr>
          <w:trHeight w:val="490" w:hRule="exact"/>
        </w:trPr>
        <w:tc>
          <w:tcPr>
            <w:tcW w:w="1291"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rPr>
                <w:sz w:val="19"/>
              </w:rPr>
            </w:pPr>
            <w:r>
              <w:rPr>
                <w:w w:val="105"/>
                <w:sz w:val="19"/>
              </w:rPr>
              <w:t>34</w:t>
            </w:r>
          </w:p>
        </w:tc>
        <w:tc>
          <w:tcPr>
            <w:tcW w:w="5386"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right="5"/>
              <w:rPr>
                <w:sz w:val="19"/>
              </w:rPr>
            </w:pPr>
            <w:r>
              <w:rPr>
                <w:w w:val="115"/>
                <w:sz w:val="19"/>
              </w:rPr>
              <w:t>EPO analysis ordered, nor finished, the rest is clean</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left="105" w:right="27"/>
              <w:rPr>
                <w:sz w:val="19"/>
              </w:rPr>
            </w:pPr>
            <w:r>
              <w:rPr>
                <w:w w:val="115"/>
                <w:sz w:val="19"/>
              </w:rPr>
              <w:t>Negative Findings</w:t>
            </w:r>
          </w:p>
        </w:tc>
      </w:tr>
      <w:tr>
        <w:trPr>
          <w:trHeight w:val="494" w:hRule="exact"/>
        </w:trPr>
        <w:tc>
          <w:tcPr>
            <w:tcW w:w="1291"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rPr>
                <w:sz w:val="19"/>
              </w:rPr>
            </w:pPr>
            <w:r>
              <w:rPr>
                <w:w w:val="105"/>
                <w:sz w:val="19"/>
              </w:rPr>
              <w:t>35</w:t>
            </w:r>
          </w:p>
        </w:tc>
        <w:tc>
          <w:tcPr>
            <w:tcW w:w="5386"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right="5"/>
              <w:rPr>
                <w:sz w:val="19"/>
              </w:rPr>
            </w:pPr>
            <w:r>
              <w:rPr>
                <w:w w:val="115"/>
                <w:sz w:val="19"/>
              </w:rPr>
              <w:t>EPO analysis ordered, nor finished, the rest is clean</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left="105" w:right="27"/>
              <w:rPr>
                <w:sz w:val="19"/>
              </w:rPr>
            </w:pPr>
            <w:r>
              <w:rPr>
                <w:w w:val="115"/>
                <w:sz w:val="19"/>
              </w:rPr>
              <w:t>Negative Findings</w:t>
            </w:r>
          </w:p>
        </w:tc>
      </w:tr>
      <w:tr>
        <w:trPr>
          <w:trHeight w:val="490" w:hRule="exact"/>
        </w:trPr>
        <w:tc>
          <w:tcPr>
            <w:tcW w:w="1291"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rPr>
                <w:sz w:val="19"/>
              </w:rPr>
            </w:pPr>
            <w:r>
              <w:rPr>
                <w:w w:val="105"/>
                <w:sz w:val="19"/>
              </w:rPr>
              <w:t>36</w:t>
            </w:r>
          </w:p>
        </w:tc>
        <w:tc>
          <w:tcPr>
            <w:tcW w:w="5386"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right="5"/>
              <w:rPr>
                <w:sz w:val="19"/>
              </w:rPr>
            </w:pPr>
            <w:r>
              <w:rPr>
                <w:w w:val="115"/>
                <w:sz w:val="19"/>
              </w:rPr>
              <w:t>EPO analysis ordered, nor finished, the rest is clean</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left="105" w:right="27"/>
              <w:rPr>
                <w:sz w:val="19"/>
              </w:rPr>
            </w:pPr>
            <w:r>
              <w:rPr>
                <w:w w:val="115"/>
                <w:sz w:val="19"/>
              </w:rPr>
              <w:t>Negative Findings</w:t>
            </w:r>
          </w:p>
        </w:tc>
      </w:tr>
      <w:tr>
        <w:trPr>
          <w:trHeight w:val="494" w:hRule="exact"/>
        </w:trPr>
        <w:tc>
          <w:tcPr>
            <w:tcW w:w="1291"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rPr>
                <w:sz w:val="19"/>
              </w:rPr>
            </w:pPr>
            <w:r>
              <w:rPr>
                <w:w w:val="105"/>
                <w:sz w:val="19"/>
              </w:rPr>
              <w:t>37</w:t>
            </w:r>
          </w:p>
        </w:tc>
        <w:tc>
          <w:tcPr>
            <w:tcW w:w="5386"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right="5"/>
              <w:rPr>
                <w:sz w:val="19"/>
              </w:rPr>
            </w:pPr>
            <w:r>
              <w:rPr>
                <w:w w:val="110"/>
                <w:sz w:val="19"/>
              </w:rPr>
              <w:t>oralturinabol 740,000</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left="105" w:right="27"/>
              <w:rPr>
                <w:sz w:val="19"/>
              </w:rPr>
            </w:pPr>
            <w:r>
              <w:rPr>
                <w:w w:val="115"/>
                <w:sz w:val="19"/>
              </w:rPr>
              <w:t>Negative Findings</w:t>
            </w:r>
          </w:p>
        </w:tc>
      </w:tr>
    </w:tbl>
    <w:p>
      <w:pPr>
        <w:spacing w:after="0" w:line="214" w:lineRule="exact"/>
        <w:rPr>
          <w:sz w:val="19"/>
        </w:rPr>
        <w:sectPr>
          <w:pgSz w:w="12240" w:h="15840"/>
          <w:pgMar w:header="0" w:footer="705" w:top="1460" w:bottom="900" w:left="1680" w:right="1220"/>
        </w:sect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91"/>
        <w:gridCol w:w="5386"/>
        <w:gridCol w:w="2410"/>
      </w:tblGrid>
      <w:tr>
        <w:trPr>
          <w:trHeight w:val="486" w:hRule="exact"/>
        </w:trPr>
        <w:tc>
          <w:tcPr>
            <w:tcW w:w="1291" w:type="dxa"/>
            <w:tcBorders>
              <w:left w:val="single" w:sz="5" w:space="0" w:color="000000"/>
              <w:bottom w:val="single" w:sz="5" w:space="0" w:color="000000"/>
              <w:right w:val="single" w:sz="5" w:space="0" w:color="000000"/>
            </w:tcBorders>
          </w:tcPr>
          <w:p>
            <w:pPr>
              <w:pStyle w:val="TableParagraph"/>
              <w:spacing w:line="217" w:lineRule="exact"/>
              <w:rPr>
                <w:sz w:val="19"/>
              </w:rPr>
            </w:pPr>
            <w:r>
              <w:rPr>
                <w:w w:val="105"/>
                <w:sz w:val="19"/>
              </w:rPr>
              <w:t>38</w:t>
            </w:r>
          </w:p>
        </w:tc>
        <w:tc>
          <w:tcPr>
            <w:tcW w:w="5386" w:type="dxa"/>
            <w:tcBorders>
              <w:left w:val="single" w:sz="5" w:space="0" w:color="000000"/>
              <w:bottom w:val="single" w:sz="5" w:space="0" w:color="000000"/>
              <w:right w:val="single" w:sz="5" w:space="0" w:color="000000"/>
            </w:tcBorders>
          </w:tcPr>
          <w:p>
            <w:pPr>
              <w:pStyle w:val="TableParagraph"/>
              <w:spacing w:line="217" w:lineRule="exact"/>
              <w:ind w:right="5"/>
              <w:rPr>
                <w:sz w:val="19"/>
              </w:rPr>
            </w:pPr>
            <w:r>
              <w:rPr>
                <w:w w:val="115"/>
                <w:sz w:val="19"/>
              </w:rPr>
              <w:t>oralturinabol 20,000</w:t>
            </w:r>
          </w:p>
        </w:tc>
        <w:tc>
          <w:tcPr>
            <w:tcW w:w="2410" w:type="dxa"/>
            <w:tcBorders>
              <w:left w:val="single" w:sz="5" w:space="0" w:color="000000"/>
              <w:bottom w:val="single" w:sz="5" w:space="0" w:color="000000"/>
              <w:right w:val="single" w:sz="5" w:space="0" w:color="000000"/>
            </w:tcBorders>
          </w:tcPr>
          <w:p>
            <w:pPr>
              <w:pStyle w:val="TableParagraph"/>
              <w:spacing w:line="217" w:lineRule="exact"/>
              <w:ind w:left="105" w:right="27"/>
              <w:rPr>
                <w:sz w:val="19"/>
              </w:rPr>
            </w:pPr>
            <w:r>
              <w:rPr>
                <w:w w:val="115"/>
                <w:sz w:val="19"/>
              </w:rPr>
              <w:t>Negative Findings</w:t>
            </w:r>
          </w:p>
        </w:tc>
      </w:tr>
      <w:tr>
        <w:trPr>
          <w:trHeight w:val="494" w:hRule="exact"/>
        </w:trPr>
        <w:tc>
          <w:tcPr>
            <w:tcW w:w="1291" w:type="dxa"/>
            <w:tcBorders>
              <w:top w:val="single" w:sz="5" w:space="0" w:color="000000"/>
              <w:left w:val="single" w:sz="5" w:space="0" w:color="000000"/>
              <w:bottom w:val="single" w:sz="5" w:space="0" w:color="000000"/>
              <w:right w:val="single" w:sz="5" w:space="0" w:color="000000"/>
            </w:tcBorders>
          </w:tcPr>
          <w:p>
            <w:pPr>
              <w:pStyle w:val="TableParagraph"/>
              <w:spacing w:line="218" w:lineRule="exact"/>
              <w:rPr>
                <w:sz w:val="19"/>
              </w:rPr>
            </w:pPr>
            <w:r>
              <w:rPr>
                <w:w w:val="105"/>
                <w:sz w:val="19"/>
              </w:rPr>
              <w:t>39</w:t>
            </w:r>
          </w:p>
        </w:tc>
        <w:tc>
          <w:tcPr>
            <w:tcW w:w="5386" w:type="dxa"/>
            <w:tcBorders>
              <w:top w:val="single" w:sz="5" w:space="0" w:color="000000"/>
              <w:left w:val="single" w:sz="5" w:space="0" w:color="000000"/>
              <w:bottom w:val="single" w:sz="5" w:space="0" w:color="000000"/>
              <w:right w:val="single" w:sz="5" w:space="0" w:color="000000"/>
            </w:tcBorders>
          </w:tcPr>
          <w:p>
            <w:pPr>
              <w:pStyle w:val="TableParagraph"/>
              <w:spacing w:line="218" w:lineRule="exact"/>
              <w:ind w:right="5"/>
              <w:rPr>
                <w:sz w:val="19"/>
              </w:rPr>
            </w:pPr>
            <w:r>
              <w:rPr>
                <w:w w:val="115"/>
                <w:sz w:val="19"/>
              </w:rPr>
              <w:t>oralturinabol 4,000</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18" w:lineRule="exact"/>
              <w:ind w:left="105" w:right="27"/>
              <w:rPr>
                <w:sz w:val="19"/>
              </w:rPr>
            </w:pPr>
            <w:r>
              <w:rPr>
                <w:w w:val="115"/>
                <w:sz w:val="19"/>
              </w:rPr>
              <w:t>Negative Findings</w:t>
            </w:r>
          </w:p>
        </w:tc>
      </w:tr>
      <w:tr>
        <w:trPr>
          <w:trHeight w:val="494" w:hRule="exact"/>
        </w:trPr>
        <w:tc>
          <w:tcPr>
            <w:tcW w:w="1291"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rPr>
                <w:sz w:val="19"/>
              </w:rPr>
            </w:pPr>
            <w:r>
              <w:rPr>
                <w:w w:val="105"/>
                <w:sz w:val="19"/>
              </w:rPr>
              <w:t>40</w:t>
            </w:r>
          </w:p>
        </w:tc>
        <w:tc>
          <w:tcPr>
            <w:tcW w:w="5386"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right="5"/>
              <w:rPr>
                <w:sz w:val="19"/>
              </w:rPr>
            </w:pPr>
            <w:r>
              <w:rPr>
                <w:w w:val="115"/>
                <w:sz w:val="19"/>
              </w:rPr>
              <w:t>oralturinabol 200,000; oxandrolone 5,000</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left="105" w:right="27"/>
              <w:rPr>
                <w:sz w:val="19"/>
              </w:rPr>
            </w:pPr>
            <w:r>
              <w:rPr>
                <w:w w:val="115"/>
                <w:sz w:val="19"/>
              </w:rPr>
              <w:t>Negative Findings</w:t>
            </w:r>
          </w:p>
        </w:tc>
      </w:tr>
      <w:tr>
        <w:trPr>
          <w:trHeight w:val="490" w:hRule="exact"/>
        </w:trPr>
        <w:tc>
          <w:tcPr>
            <w:tcW w:w="1291"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rPr>
                <w:sz w:val="19"/>
              </w:rPr>
            </w:pPr>
            <w:r>
              <w:rPr>
                <w:w w:val="105"/>
                <w:sz w:val="19"/>
              </w:rPr>
              <w:t>41</w:t>
            </w:r>
          </w:p>
        </w:tc>
        <w:tc>
          <w:tcPr>
            <w:tcW w:w="5386"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right="5"/>
              <w:rPr>
                <w:sz w:val="19"/>
              </w:rPr>
            </w:pPr>
            <w:r>
              <w:rPr>
                <w:w w:val="110"/>
                <w:sz w:val="19"/>
              </w:rPr>
              <w:t>T/E = 4.2</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left="105" w:right="27"/>
              <w:rPr>
                <w:sz w:val="19"/>
              </w:rPr>
            </w:pPr>
            <w:r>
              <w:rPr>
                <w:w w:val="115"/>
                <w:sz w:val="19"/>
              </w:rPr>
              <w:t>Negative Findings</w:t>
            </w:r>
          </w:p>
        </w:tc>
      </w:tr>
      <w:tr>
        <w:trPr>
          <w:trHeight w:val="494" w:hRule="exact"/>
        </w:trPr>
        <w:tc>
          <w:tcPr>
            <w:tcW w:w="1291"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rPr>
                <w:sz w:val="19"/>
              </w:rPr>
            </w:pPr>
            <w:r>
              <w:rPr>
                <w:w w:val="105"/>
                <w:sz w:val="19"/>
              </w:rPr>
              <w:t>42</w:t>
            </w:r>
          </w:p>
        </w:tc>
        <w:tc>
          <w:tcPr>
            <w:tcW w:w="5386"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right="5"/>
              <w:rPr>
                <w:sz w:val="19"/>
              </w:rPr>
            </w:pPr>
            <w:r>
              <w:rPr>
                <w:w w:val="115"/>
                <w:sz w:val="19"/>
              </w:rPr>
              <w:t>EPO analysis ordered, nor finished</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left="105" w:right="27"/>
              <w:rPr>
                <w:sz w:val="19"/>
              </w:rPr>
            </w:pPr>
            <w:r>
              <w:rPr>
                <w:w w:val="115"/>
                <w:sz w:val="19"/>
              </w:rPr>
              <w:t>Negative Findings</w:t>
            </w:r>
          </w:p>
        </w:tc>
      </w:tr>
      <w:tr>
        <w:trPr>
          <w:trHeight w:val="489" w:hRule="exact"/>
        </w:trPr>
        <w:tc>
          <w:tcPr>
            <w:tcW w:w="1291" w:type="dxa"/>
            <w:tcBorders>
              <w:top w:val="single" w:sz="5" w:space="0" w:color="000000"/>
              <w:left w:val="single" w:sz="5" w:space="0" w:color="000000"/>
              <w:bottom w:val="single" w:sz="4" w:space="0" w:color="000000"/>
              <w:right w:val="single" w:sz="5" w:space="0" w:color="000000"/>
            </w:tcBorders>
          </w:tcPr>
          <w:p>
            <w:pPr>
              <w:pStyle w:val="TableParagraph"/>
              <w:spacing w:line="214" w:lineRule="exact"/>
              <w:rPr>
                <w:sz w:val="19"/>
              </w:rPr>
            </w:pPr>
            <w:r>
              <w:rPr>
                <w:w w:val="105"/>
                <w:sz w:val="19"/>
              </w:rPr>
              <w:t>43</w:t>
            </w:r>
          </w:p>
        </w:tc>
        <w:tc>
          <w:tcPr>
            <w:tcW w:w="5386" w:type="dxa"/>
            <w:tcBorders>
              <w:top w:val="single" w:sz="5" w:space="0" w:color="000000"/>
              <w:left w:val="single" w:sz="5" w:space="0" w:color="000000"/>
              <w:bottom w:val="single" w:sz="4" w:space="0" w:color="000000"/>
              <w:right w:val="single" w:sz="5" w:space="0" w:color="000000"/>
            </w:tcBorders>
          </w:tcPr>
          <w:p>
            <w:pPr>
              <w:pStyle w:val="TableParagraph"/>
              <w:spacing w:line="214" w:lineRule="exact"/>
              <w:ind w:right="5"/>
              <w:rPr>
                <w:sz w:val="19"/>
              </w:rPr>
            </w:pPr>
            <w:r>
              <w:rPr>
                <w:w w:val="115"/>
                <w:sz w:val="19"/>
              </w:rPr>
              <w:t>EPO analysis ordered, nor finished</w:t>
            </w:r>
          </w:p>
        </w:tc>
        <w:tc>
          <w:tcPr>
            <w:tcW w:w="2410" w:type="dxa"/>
            <w:tcBorders>
              <w:top w:val="single" w:sz="5" w:space="0" w:color="000000"/>
              <w:left w:val="single" w:sz="5" w:space="0" w:color="000000"/>
              <w:bottom w:val="single" w:sz="4" w:space="0" w:color="000000"/>
              <w:right w:val="single" w:sz="5" w:space="0" w:color="000000"/>
            </w:tcBorders>
          </w:tcPr>
          <w:p>
            <w:pPr>
              <w:pStyle w:val="TableParagraph"/>
              <w:spacing w:line="214" w:lineRule="exact"/>
              <w:ind w:left="105" w:right="27"/>
              <w:rPr>
                <w:sz w:val="19"/>
              </w:rPr>
            </w:pPr>
            <w:r>
              <w:rPr>
                <w:w w:val="115"/>
                <w:sz w:val="19"/>
              </w:rPr>
              <w:t>Negative Findings</w:t>
            </w:r>
          </w:p>
        </w:tc>
      </w:tr>
      <w:tr>
        <w:trPr>
          <w:trHeight w:val="495" w:hRule="exact"/>
        </w:trPr>
        <w:tc>
          <w:tcPr>
            <w:tcW w:w="1291" w:type="dxa"/>
            <w:tcBorders>
              <w:top w:val="single" w:sz="4" w:space="0" w:color="000000"/>
              <w:left w:val="single" w:sz="5" w:space="0" w:color="000000"/>
              <w:bottom w:val="single" w:sz="5" w:space="0" w:color="000000"/>
              <w:right w:val="single" w:sz="5" w:space="0" w:color="000000"/>
            </w:tcBorders>
          </w:tcPr>
          <w:p>
            <w:pPr>
              <w:pStyle w:val="TableParagraph"/>
              <w:spacing w:line="215" w:lineRule="exact"/>
              <w:rPr>
                <w:sz w:val="19"/>
              </w:rPr>
            </w:pPr>
            <w:r>
              <w:rPr>
                <w:w w:val="105"/>
                <w:sz w:val="19"/>
              </w:rPr>
              <w:t>44</w:t>
            </w:r>
          </w:p>
        </w:tc>
        <w:tc>
          <w:tcPr>
            <w:tcW w:w="5386" w:type="dxa"/>
            <w:tcBorders>
              <w:top w:val="single" w:sz="4" w:space="0" w:color="000000"/>
              <w:left w:val="single" w:sz="5" w:space="0" w:color="000000"/>
              <w:bottom w:val="single" w:sz="5" w:space="0" w:color="000000"/>
              <w:right w:val="single" w:sz="5" w:space="0" w:color="000000"/>
            </w:tcBorders>
          </w:tcPr>
          <w:p>
            <w:pPr>
              <w:pStyle w:val="TableParagraph"/>
              <w:spacing w:line="215" w:lineRule="exact"/>
              <w:ind w:right="5"/>
              <w:rPr>
                <w:sz w:val="19"/>
              </w:rPr>
            </w:pPr>
            <w:r>
              <w:rPr>
                <w:w w:val="115"/>
                <w:sz w:val="19"/>
              </w:rPr>
              <w:t>EPO analysis ordered, nor finished</w:t>
            </w:r>
          </w:p>
        </w:tc>
        <w:tc>
          <w:tcPr>
            <w:tcW w:w="2410" w:type="dxa"/>
            <w:tcBorders>
              <w:top w:val="single" w:sz="4" w:space="0" w:color="000000"/>
              <w:left w:val="single" w:sz="5" w:space="0" w:color="000000"/>
              <w:bottom w:val="single" w:sz="5" w:space="0" w:color="000000"/>
              <w:right w:val="single" w:sz="5" w:space="0" w:color="000000"/>
            </w:tcBorders>
          </w:tcPr>
          <w:p>
            <w:pPr>
              <w:pStyle w:val="TableParagraph"/>
              <w:spacing w:line="215" w:lineRule="exact"/>
              <w:ind w:left="105" w:right="27"/>
              <w:rPr>
                <w:sz w:val="19"/>
              </w:rPr>
            </w:pPr>
            <w:r>
              <w:rPr>
                <w:w w:val="115"/>
                <w:sz w:val="19"/>
              </w:rPr>
              <w:t>Negative Findings</w:t>
            </w:r>
          </w:p>
        </w:tc>
      </w:tr>
      <w:tr>
        <w:trPr>
          <w:trHeight w:val="490" w:hRule="exact"/>
        </w:trPr>
        <w:tc>
          <w:tcPr>
            <w:tcW w:w="1291"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rPr>
                <w:sz w:val="19"/>
              </w:rPr>
            </w:pPr>
            <w:r>
              <w:rPr>
                <w:w w:val="105"/>
                <w:sz w:val="19"/>
              </w:rPr>
              <w:t>45</w:t>
            </w:r>
          </w:p>
        </w:tc>
        <w:tc>
          <w:tcPr>
            <w:tcW w:w="5386"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right="5"/>
              <w:rPr>
                <w:sz w:val="19"/>
              </w:rPr>
            </w:pPr>
            <w:r>
              <w:rPr>
                <w:w w:val="115"/>
                <w:sz w:val="19"/>
              </w:rPr>
              <w:t>EPO analysis ordered, nor finished</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left="105" w:right="27"/>
              <w:rPr>
                <w:sz w:val="19"/>
              </w:rPr>
            </w:pPr>
            <w:r>
              <w:rPr>
                <w:w w:val="115"/>
                <w:sz w:val="19"/>
              </w:rPr>
              <w:t>Negative Findings</w:t>
            </w:r>
          </w:p>
        </w:tc>
      </w:tr>
      <w:tr>
        <w:trPr>
          <w:trHeight w:val="494" w:hRule="exact"/>
        </w:trPr>
        <w:tc>
          <w:tcPr>
            <w:tcW w:w="1291"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rPr>
                <w:sz w:val="19"/>
              </w:rPr>
            </w:pPr>
            <w:r>
              <w:rPr>
                <w:w w:val="105"/>
                <w:sz w:val="19"/>
              </w:rPr>
              <w:t>46</w:t>
            </w:r>
          </w:p>
        </w:tc>
        <w:tc>
          <w:tcPr>
            <w:tcW w:w="5386"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right="5"/>
              <w:rPr>
                <w:sz w:val="19"/>
              </w:rPr>
            </w:pPr>
            <w:r>
              <w:rPr>
                <w:w w:val="115"/>
                <w:sz w:val="19"/>
              </w:rPr>
              <w:t>EPO analysis ordered, nor finished</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left="105" w:right="27"/>
              <w:rPr>
                <w:sz w:val="19"/>
              </w:rPr>
            </w:pPr>
            <w:r>
              <w:rPr>
                <w:w w:val="115"/>
                <w:sz w:val="19"/>
              </w:rPr>
              <w:t>Negative Findings</w:t>
            </w:r>
          </w:p>
        </w:tc>
      </w:tr>
      <w:tr>
        <w:trPr>
          <w:trHeight w:val="974" w:hRule="exact"/>
        </w:trPr>
        <w:tc>
          <w:tcPr>
            <w:tcW w:w="1291" w:type="dxa"/>
            <w:tcBorders>
              <w:top w:val="single" w:sz="5" w:space="0" w:color="000000"/>
              <w:left w:val="single" w:sz="5" w:space="0" w:color="000000"/>
              <w:bottom w:val="single" w:sz="5" w:space="0" w:color="000000"/>
              <w:right w:val="single" w:sz="5" w:space="0" w:color="000000"/>
            </w:tcBorders>
          </w:tcPr>
          <w:p>
            <w:pPr>
              <w:pStyle w:val="TableParagraph"/>
              <w:ind w:left="0"/>
              <w:rPr>
                <w:sz w:val="20"/>
              </w:rPr>
            </w:pPr>
          </w:p>
          <w:p>
            <w:pPr>
              <w:pStyle w:val="TableParagraph"/>
              <w:spacing w:before="4"/>
              <w:ind w:left="0"/>
              <w:rPr>
                <w:sz w:val="21"/>
              </w:rPr>
            </w:pPr>
          </w:p>
          <w:p>
            <w:pPr>
              <w:pStyle w:val="TableParagraph"/>
              <w:rPr>
                <w:sz w:val="19"/>
              </w:rPr>
            </w:pPr>
            <w:r>
              <w:rPr>
                <w:w w:val="105"/>
                <w:sz w:val="19"/>
              </w:rPr>
              <w:t>47</w:t>
            </w:r>
          </w:p>
        </w:tc>
        <w:tc>
          <w:tcPr>
            <w:tcW w:w="5386" w:type="dxa"/>
            <w:tcBorders>
              <w:top w:val="single" w:sz="5" w:space="0" w:color="000000"/>
              <w:left w:val="single" w:sz="5" w:space="0" w:color="000000"/>
              <w:bottom w:val="single" w:sz="5" w:space="0" w:color="000000"/>
              <w:right w:val="single" w:sz="5" w:space="0" w:color="000000"/>
            </w:tcBorders>
          </w:tcPr>
          <w:p>
            <w:pPr>
              <w:pStyle w:val="TableParagraph"/>
              <w:ind w:left="0"/>
              <w:rPr>
                <w:sz w:val="20"/>
              </w:rPr>
            </w:pPr>
          </w:p>
          <w:p>
            <w:pPr>
              <w:pStyle w:val="TableParagraph"/>
              <w:spacing w:before="4"/>
              <w:ind w:left="0"/>
              <w:rPr>
                <w:sz w:val="21"/>
              </w:rPr>
            </w:pPr>
          </w:p>
          <w:p>
            <w:pPr>
              <w:pStyle w:val="TableParagraph"/>
              <w:ind w:right="5"/>
              <w:rPr>
                <w:sz w:val="19"/>
              </w:rPr>
            </w:pPr>
            <w:r>
              <w:rPr>
                <w:w w:val="115"/>
                <w:sz w:val="19"/>
              </w:rPr>
              <w:t>T/E = 6</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528" w:lineRule="auto"/>
              <w:ind w:left="105" w:right="27"/>
              <w:rPr>
                <w:sz w:val="19"/>
              </w:rPr>
            </w:pPr>
            <w:r>
              <w:rPr>
                <w:spacing w:val="1"/>
                <w:w w:val="106"/>
                <w:sz w:val="19"/>
              </w:rPr>
              <w:t>ATF </w:t>
            </w:r>
            <w:r>
              <w:rPr>
                <w:w w:val="225"/>
                <w:sz w:val="19"/>
              </w:rPr>
              <w:t>/</w:t>
            </w:r>
            <w:r>
              <w:rPr>
                <w:spacing w:val="-64"/>
                <w:w w:val="225"/>
                <w:sz w:val="19"/>
              </w:rPr>
              <w:t> </w:t>
            </w:r>
            <w:r>
              <w:rPr>
                <w:spacing w:val="1"/>
                <w:w w:val="144"/>
                <w:sz w:val="19"/>
              </w:rPr>
              <w:t>T/E </w:t>
            </w:r>
            <w:r>
              <w:rPr>
                <w:spacing w:val="1"/>
                <w:w w:val="116"/>
                <w:sz w:val="19"/>
              </w:rPr>
              <w:t>ratio </w:t>
            </w:r>
            <w:r>
              <w:rPr>
                <w:w w:val="111"/>
                <w:sz w:val="19"/>
              </w:rPr>
              <w:t>&gt; </w:t>
            </w:r>
            <w:r>
              <w:rPr>
                <w:w w:val="103"/>
                <w:sz w:val="19"/>
              </w:rPr>
              <w:t>4 (R) </w:t>
            </w:r>
            <w:r>
              <w:rPr>
                <w:w w:val="103"/>
                <w:sz w:val="19"/>
              </w:rPr>
              <w:t>- </w:t>
            </w:r>
            <w:r>
              <w:rPr>
                <w:w w:val="110"/>
                <w:sz w:val="19"/>
              </w:rPr>
              <w:t>S1.1B Endogenous </w:t>
            </w:r>
            <w:r>
              <w:rPr>
                <w:spacing w:val="2"/>
                <w:w w:val="110"/>
                <w:sz w:val="19"/>
              </w:rPr>
              <w:t>AAS</w:t>
            </w:r>
          </w:p>
        </w:tc>
      </w:tr>
      <w:tr>
        <w:trPr>
          <w:trHeight w:val="490" w:hRule="exact"/>
        </w:trPr>
        <w:tc>
          <w:tcPr>
            <w:tcW w:w="1291"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rPr>
                <w:sz w:val="19"/>
              </w:rPr>
            </w:pPr>
            <w:r>
              <w:rPr>
                <w:w w:val="105"/>
                <w:sz w:val="19"/>
              </w:rPr>
              <w:t>48</w:t>
            </w:r>
          </w:p>
        </w:tc>
        <w:tc>
          <w:tcPr>
            <w:tcW w:w="5386"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right="5"/>
              <w:rPr>
                <w:sz w:val="19"/>
              </w:rPr>
            </w:pPr>
            <w:r>
              <w:rPr>
                <w:w w:val="115"/>
                <w:sz w:val="19"/>
              </w:rPr>
              <w:t>methasterone 25,000; drostanolone 3,600,000</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left="105" w:right="27"/>
              <w:rPr>
                <w:sz w:val="19"/>
              </w:rPr>
            </w:pPr>
            <w:r>
              <w:rPr>
                <w:w w:val="115"/>
                <w:sz w:val="19"/>
              </w:rPr>
              <w:t>Negative Findings</w:t>
            </w:r>
          </w:p>
        </w:tc>
      </w:tr>
      <w:tr>
        <w:trPr>
          <w:trHeight w:val="494" w:hRule="exact"/>
        </w:trPr>
        <w:tc>
          <w:tcPr>
            <w:tcW w:w="1291"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rPr>
                <w:sz w:val="19"/>
              </w:rPr>
            </w:pPr>
            <w:r>
              <w:rPr>
                <w:w w:val="105"/>
                <w:sz w:val="19"/>
              </w:rPr>
              <w:t>49</w:t>
            </w:r>
          </w:p>
        </w:tc>
        <w:tc>
          <w:tcPr>
            <w:tcW w:w="5386"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right="5"/>
              <w:rPr>
                <w:sz w:val="19"/>
              </w:rPr>
            </w:pPr>
            <w:r>
              <w:rPr>
                <w:w w:val="115"/>
                <w:sz w:val="19"/>
              </w:rPr>
              <w:t>T/E = 4; desoxymethyltestosterone 60,000</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left="105" w:right="27"/>
              <w:rPr>
                <w:sz w:val="19"/>
              </w:rPr>
            </w:pPr>
            <w:r>
              <w:rPr>
                <w:w w:val="115"/>
                <w:sz w:val="19"/>
              </w:rPr>
              <w:t>Negative Findings</w:t>
            </w:r>
          </w:p>
        </w:tc>
      </w:tr>
      <w:tr>
        <w:trPr>
          <w:trHeight w:val="974" w:hRule="exact"/>
        </w:trPr>
        <w:tc>
          <w:tcPr>
            <w:tcW w:w="1291" w:type="dxa"/>
            <w:tcBorders>
              <w:top w:val="single" w:sz="5" w:space="0" w:color="000000"/>
              <w:left w:val="single" w:sz="5" w:space="0" w:color="000000"/>
              <w:bottom w:val="single" w:sz="4" w:space="0" w:color="000000"/>
              <w:right w:val="single" w:sz="5" w:space="0" w:color="000000"/>
            </w:tcBorders>
          </w:tcPr>
          <w:p>
            <w:pPr>
              <w:pStyle w:val="TableParagraph"/>
              <w:ind w:left="0"/>
              <w:rPr>
                <w:sz w:val="20"/>
              </w:rPr>
            </w:pPr>
          </w:p>
          <w:p>
            <w:pPr>
              <w:pStyle w:val="TableParagraph"/>
              <w:spacing w:before="4"/>
              <w:ind w:left="0"/>
              <w:rPr>
                <w:sz w:val="21"/>
              </w:rPr>
            </w:pPr>
          </w:p>
          <w:p>
            <w:pPr>
              <w:pStyle w:val="TableParagraph"/>
              <w:rPr>
                <w:sz w:val="19"/>
              </w:rPr>
            </w:pPr>
            <w:r>
              <w:rPr>
                <w:w w:val="105"/>
                <w:sz w:val="19"/>
              </w:rPr>
              <w:t>50</w:t>
            </w:r>
          </w:p>
        </w:tc>
        <w:tc>
          <w:tcPr>
            <w:tcW w:w="5386" w:type="dxa"/>
            <w:tcBorders>
              <w:top w:val="single" w:sz="5" w:space="0" w:color="000000"/>
              <w:left w:val="single" w:sz="5" w:space="0" w:color="000000"/>
              <w:bottom w:val="single" w:sz="4" w:space="0" w:color="000000"/>
              <w:right w:val="single" w:sz="5" w:space="0" w:color="000000"/>
            </w:tcBorders>
          </w:tcPr>
          <w:p>
            <w:pPr>
              <w:pStyle w:val="TableParagraph"/>
              <w:spacing w:line="528" w:lineRule="auto"/>
              <w:ind w:right="5"/>
              <w:rPr>
                <w:sz w:val="19"/>
              </w:rPr>
            </w:pPr>
            <w:r>
              <w:rPr>
                <w:w w:val="115"/>
                <w:sz w:val="19"/>
              </w:rPr>
              <w:t>probably dehydroepiandrosterone, EPO analysis ordered, nor finished</w:t>
            </w:r>
          </w:p>
        </w:tc>
        <w:tc>
          <w:tcPr>
            <w:tcW w:w="2410" w:type="dxa"/>
            <w:tcBorders>
              <w:top w:val="single" w:sz="5" w:space="0" w:color="000000"/>
              <w:left w:val="single" w:sz="5" w:space="0" w:color="000000"/>
              <w:bottom w:val="single" w:sz="4" w:space="0" w:color="000000"/>
              <w:right w:val="single" w:sz="5" w:space="0" w:color="000000"/>
            </w:tcBorders>
          </w:tcPr>
          <w:p>
            <w:pPr>
              <w:pStyle w:val="TableParagraph"/>
              <w:ind w:left="0"/>
              <w:rPr>
                <w:sz w:val="20"/>
              </w:rPr>
            </w:pPr>
          </w:p>
          <w:p>
            <w:pPr>
              <w:pStyle w:val="TableParagraph"/>
              <w:spacing w:before="4"/>
              <w:ind w:left="0"/>
              <w:rPr>
                <w:sz w:val="21"/>
              </w:rPr>
            </w:pPr>
          </w:p>
          <w:p>
            <w:pPr>
              <w:pStyle w:val="TableParagraph"/>
              <w:ind w:left="105" w:right="27"/>
              <w:rPr>
                <w:sz w:val="19"/>
              </w:rPr>
            </w:pPr>
            <w:r>
              <w:rPr>
                <w:w w:val="115"/>
                <w:sz w:val="19"/>
              </w:rPr>
              <w:t>Negative Findings</w:t>
            </w:r>
          </w:p>
        </w:tc>
      </w:tr>
      <w:tr>
        <w:trPr>
          <w:trHeight w:val="495" w:hRule="exact"/>
        </w:trPr>
        <w:tc>
          <w:tcPr>
            <w:tcW w:w="1291" w:type="dxa"/>
            <w:tcBorders>
              <w:top w:val="single" w:sz="4" w:space="0" w:color="000000"/>
              <w:left w:val="single" w:sz="5" w:space="0" w:color="000000"/>
              <w:bottom w:val="single" w:sz="5" w:space="0" w:color="000000"/>
              <w:right w:val="single" w:sz="5" w:space="0" w:color="000000"/>
            </w:tcBorders>
          </w:tcPr>
          <w:p>
            <w:pPr>
              <w:pStyle w:val="TableParagraph"/>
              <w:spacing w:line="215" w:lineRule="exact"/>
              <w:rPr>
                <w:sz w:val="19"/>
              </w:rPr>
            </w:pPr>
            <w:r>
              <w:rPr>
                <w:w w:val="105"/>
                <w:sz w:val="19"/>
              </w:rPr>
              <w:t>51</w:t>
            </w:r>
          </w:p>
        </w:tc>
        <w:tc>
          <w:tcPr>
            <w:tcW w:w="5386" w:type="dxa"/>
            <w:tcBorders>
              <w:top w:val="single" w:sz="4" w:space="0" w:color="000000"/>
              <w:left w:val="single" w:sz="5" w:space="0" w:color="000000"/>
              <w:bottom w:val="single" w:sz="5" w:space="0" w:color="000000"/>
              <w:right w:val="single" w:sz="5" w:space="0" w:color="000000"/>
            </w:tcBorders>
          </w:tcPr>
          <w:p>
            <w:pPr>
              <w:pStyle w:val="TableParagraph"/>
              <w:spacing w:line="215" w:lineRule="exact"/>
              <w:ind w:right="5"/>
              <w:rPr>
                <w:sz w:val="19"/>
              </w:rPr>
            </w:pPr>
            <w:r>
              <w:rPr>
                <w:w w:val="115"/>
                <w:sz w:val="19"/>
              </w:rPr>
              <w:t>EPO analysis ordered, nor finished</w:t>
            </w:r>
          </w:p>
        </w:tc>
        <w:tc>
          <w:tcPr>
            <w:tcW w:w="2410" w:type="dxa"/>
            <w:tcBorders>
              <w:top w:val="single" w:sz="4" w:space="0" w:color="000000"/>
              <w:left w:val="single" w:sz="5" w:space="0" w:color="000000"/>
              <w:bottom w:val="single" w:sz="5" w:space="0" w:color="000000"/>
              <w:right w:val="single" w:sz="5" w:space="0" w:color="000000"/>
            </w:tcBorders>
          </w:tcPr>
          <w:p>
            <w:pPr>
              <w:pStyle w:val="TableParagraph"/>
              <w:spacing w:line="215" w:lineRule="exact"/>
              <w:ind w:left="105" w:right="27"/>
              <w:rPr>
                <w:sz w:val="19"/>
              </w:rPr>
            </w:pPr>
            <w:r>
              <w:rPr>
                <w:w w:val="115"/>
                <w:sz w:val="19"/>
              </w:rPr>
              <w:t>Negative Findings</w:t>
            </w:r>
          </w:p>
        </w:tc>
      </w:tr>
      <w:tr>
        <w:trPr>
          <w:trHeight w:val="490" w:hRule="exact"/>
        </w:trPr>
        <w:tc>
          <w:tcPr>
            <w:tcW w:w="1291"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rPr>
                <w:sz w:val="19"/>
              </w:rPr>
            </w:pPr>
            <w:r>
              <w:rPr>
                <w:w w:val="105"/>
                <w:sz w:val="19"/>
              </w:rPr>
              <w:t>52</w:t>
            </w:r>
          </w:p>
        </w:tc>
        <w:tc>
          <w:tcPr>
            <w:tcW w:w="5386"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right="5"/>
              <w:rPr>
                <w:sz w:val="19"/>
              </w:rPr>
            </w:pPr>
            <w:r>
              <w:rPr>
                <w:w w:val="115"/>
                <w:sz w:val="19"/>
              </w:rPr>
              <w:t>EPO analysis ordered, nor finished</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left="105" w:right="27"/>
              <w:rPr>
                <w:sz w:val="19"/>
              </w:rPr>
            </w:pPr>
            <w:r>
              <w:rPr>
                <w:w w:val="115"/>
                <w:sz w:val="19"/>
              </w:rPr>
              <w:t>Negative Findings</w:t>
            </w:r>
          </w:p>
        </w:tc>
      </w:tr>
      <w:tr>
        <w:trPr>
          <w:trHeight w:val="494" w:hRule="exact"/>
        </w:trPr>
        <w:tc>
          <w:tcPr>
            <w:tcW w:w="1291"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rPr>
                <w:sz w:val="19"/>
              </w:rPr>
            </w:pPr>
            <w:r>
              <w:rPr>
                <w:w w:val="105"/>
                <w:sz w:val="19"/>
              </w:rPr>
              <w:t>53</w:t>
            </w:r>
          </w:p>
        </w:tc>
        <w:tc>
          <w:tcPr>
            <w:tcW w:w="5386"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right="5"/>
              <w:rPr>
                <w:sz w:val="19"/>
              </w:rPr>
            </w:pPr>
            <w:r>
              <w:rPr>
                <w:w w:val="115"/>
                <w:sz w:val="19"/>
              </w:rPr>
              <w:t>EPO analysis ordered, nor finished</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left="105" w:right="27"/>
              <w:rPr>
                <w:sz w:val="19"/>
              </w:rPr>
            </w:pPr>
            <w:r>
              <w:rPr>
                <w:w w:val="115"/>
                <w:sz w:val="19"/>
              </w:rPr>
              <w:t>Negative Findings</w:t>
            </w:r>
          </w:p>
        </w:tc>
      </w:tr>
      <w:tr>
        <w:trPr>
          <w:trHeight w:val="490" w:hRule="exact"/>
        </w:trPr>
        <w:tc>
          <w:tcPr>
            <w:tcW w:w="1291"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rPr>
                <w:sz w:val="19"/>
              </w:rPr>
            </w:pPr>
            <w:r>
              <w:rPr>
                <w:w w:val="105"/>
                <w:sz w:val="19"/>
              </w:rPr>
              <w:t>54</w:t>
            </w:r>
          </w:p>
        </w:tc>
        <w:tc>
          <w:tcPr>
            <w:tcW w:w="5386"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right="5"/>
              <w:rPr>
                <w:sz w:val="19"/>
              </w:rPr>
            </w:pPr>
            <w:r>
              <w:rPr>
                <w:w w:val="115"/>
                <w:sz w:val="19"/>
              </w:rPr>
              <w:t>oralturinabol 15,000</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left="105" w:right="27"/>
              <w:rPr>
                <w:sz w:val="19"/>
              </w:rPr>
            </w:pPr>
            <w:r>
              <w:rPr>
                <w:w w:val="115"/>
                <w:sz w:val="19"/>
              </w:rPr>
              <w:t>Negative Findings</w:t>
            </w:r>
          </w:p>
        </w:tc>
      </w:tr>
      <w:tr>
        <w:trPr>
          <w:trHeight w:val="974" w:hRule="exact"/>
        </w:trPr>
        <w:tc>
          <w:tcPr>
            <w:tcW w:w="1291" w:type="dxa"/>
            <w:tcBorders>
              <w:top w:val="single" w:sz="5" w:space="0" w:color="000000"/>
              <w:left w:val="single" w:sz="5" w:space="0" w:color="000000"/>
              <w:bottom w:val="single" w:sz="5" w:space="0" w:color="000000"/>
              <w:right w:val="single" w:sz="5" w:space="0" w:color="000000"/>
            </w:tcBorders>
          </w:tcPr>
          <w:p>
            <w:pPr>
              <w:pStyle w:val="TableParagraph"/>
              <w:ind w:left="0"/>
              <w:rPr>
                <w:sz w:val="20"/>
              </w:rPr>
            </w:pPr>
          </w:p>
          <w:p>
            <w:pPr>
              <w:pStyle w:val="TableParagraph"/>
              <w:spacing w:before="9"/>
              <w:ind w:left="0"/>
              <w:rPr>
                <w:sz w:val="21"/>
              </w:rPr>
            </w:pPr>
          </w:p>
          <w:p>
            <w:pPr>
              <w:pStyle w:val="TableParagraph"/>
              <w:rPr>
                <w:sz w:val="19"/>
              </w:rPr>
            </w:pPr>
            <w:r>
              <w:rPr>
                <w:w w:val="105"/>
                <w:sz w:val="19"/>
              </w:rPr>
              <w:t>55</w:t>
            </w:r>
          </w:p>
        </w:tc>
        <w:tc>
          <w:tcPr>
            <w:tcW w:w="5386"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right="5"/>
              <w:rPr>
                <w:sz w:val="19"/>
              </w:rPr>
            </w:pPr>
            <w:r>
              <w:rPr>
                <w:spacing w:val="3"/>
                <w:w w:val="120"/>
                <w:sz w:val="19"/>
              </w:rPr>
              <w:t>n</w:t>
            </w:r>
            <w:r>
              <w:rPr>
                <w:w w:val="116"/>
                <w:sz w:val="19"/>
              </w:rPr>
              <w:t>a</w:t>
            </w:r>
            <w:r>
              <w:rPr>
                <w:spacing w:val="3"/>
                <w:w w:val="120"/>
                <w:sz w:val="19"/>
              </w:rPr>
              <w:t>n</w:t>
            </w:r>
            <w:r>
              <w:rPr>
                <w:spacing w:val="1"/>
                <w:w w:val="126"/>
                <w:sz w:val="19"/>
              </w:rPr>
              <w:t>d</w:t>
            </w:r>
            <w:r>
              <w:rPr>
                <w:spacing w:val="-1"/>
                <w:w w:val="116"/>
                <w:sz w:val="19"/>
              </w:rPr>
              <w:t>r</w:t>
            </w:r>
            <w:r>
              <w:rPr>
                <w:spacing w:val="3"/>
                <w:w w:val="116"/>
                <w:sz w:val="19"/>
              </w:rPr>
              <w:t>o</w:t>
            </w:r>
            <w:r>
              <w:rPr>
                <w:spacing w:val="-1"/>
                <w:w w:val="111"/>
                <w:sz w:val="19"/>
              </w:rPr>
              <w:t>l</w:t>
            </w:r>
            <w:r>
              <w:rPr>
                <w:spacing w:val="3"/>
                <w:w w:val="111"/>
                <w:sz w:val="19"/>
              </w:rPr>
              <w:t>o</w:t>
            </w:r>
            <w:r>
              <w:rPr>
                <w:w w:val="120"/>
                <w:sz w:val="19"/>
              </w:rPr>
              <w:t>n</w:t>
            </w:r>
            <w:r>
              <w:rPr>
                <w:w w:val="111"/>
                <w:sz w:val="19"/>
              </w:rPr>
              <w:t>e</w:t>
            </w:r>
            <w:r>
              <w:rPr>
                <w:sz w:val="19"/>
              </w:rPr>
              <w:t> </w:t>
            </w:r>
            <w:r>
              <w:rPr>
                <w:spacing w:val="11"/>
                <w:sz w:val="19"/>
              </w:rPr>
              <w:t> </w:t>
            </w:r>
            <w:r>
              <w:rPr>
                <w:w w:val="103"/>
                <w:sz w:val="19"/>
              </w:rPr>
              <w:t>3</w:t>
            </w:r>
            <w:r>
              <w:rPr>
                <w:sz w:val="19"/>
              </w:rPr>
              <w:t> </w:t>
            </w:r>
            <w:r>
              <w:rPr>
                <w:spacing w:val="15"/>
                <w:sz w:val="19"/>
              </w:rPr>
              <w:t> </w:t>
            </w:r>
            <w:r>
              <w:rPr>
                <w:spacing w:val="1"/>
                <w:w w:val="120"/>
                <w:sz w:val="19"/>
              </w:rPr>
              <w:t>n</w:t>
            </w:r>
            <w:r>
              <w:rPr>
                <w:spacing w:val="2"/>
                <w:w w:val="115"/>
                <w:sz w:val="19"/>
              </w:rPr>
              <w:t>g</w:t>
            </w:r>
            <w:r>
              <w:rPr>
                <w:spacing w:val="2"/>
                <w:w w:val="225"/>
                <w:sz w:val="19"/>
              </w:rPr>
              <w:t>/</w:t>
            </w:r>
            <w:r>
              <w:rPr>
                <w:spacing w:val="1"/>
                <w:w w:val="117"/>
                <w:sz w:val="19"/>
              </w:rPr>
              <w:t>m</w:t>
            </w:r>
            <w:r>
              <w:rPr>
                <w:spacing w:val="3"/>
                <w:w w:val="108"/>
                <w:sz w:val="19"/>
              </w:rPr>
              <w:t>l</w:t>
            </w:r>
            <w:r>
              <w:rPr>
                <w:w w:val="93"/>
                <w:sz w:val="19"/>
              </w:rPr>
              <w:t>;</w:t>
            </w:r>
            <w:r>
              <w:rPr>
                <w:sz w:val="19"/>
              </w:rPr>
              <w:t> </w:t>
            </w:r>
            <w:r>
              <w:rPr>
                <w:spacing w:val="10"/>
                <w:sz w:val="19"/>
              </w:rPr>
              <w:t> </w:t>
            </w:r>
            <w:r>
              <w:rPr>
                <w:spacing w:val="-1"/>
                <w:w w:val="116"/>
                <w:sz w:val="19"/>
              </w:rPr>
              <w:t>o</w:t>
            </w:r>
            <w:r>
              <w:rPr>
                <w:spacing w:val="2"/>
                <w:w w:val="116"/>
                <w:sz w:val="19"/>
              </w:rPr>
              <w:t>r</w:t>
            </w:r>
            <w:r>
              <w:rPr>
                <w:spacing w:val="2"/>
                <w:w w:val="116"/>
                <w:sz w:val="19"/>
              </w:rPr>
              <w:t>a</w:t>
            </w:r>
            <w:r>
              <w:rPr>
                <w:spacing w:val="-1"/>
                <w:w w:val="108"/>
                <w:sz w:val="19"/>
              </w:rPr>
              <w:t>l</w:t>
            </w:r>
            <w:r>
              <w:rPr>
                <w:w w:val="121"/>
                <w:sz w:val="19"/>
              </w:rPr>
              <w:t>t</w:t>
            </w:r>
            <w:r>
              <w:rPr>
                <w:spacing w:val="4"/>
                <w:w w:val="124"/>
                <w:sz w:val="19"/>
              </w:rPr>
              <w:t>u</w:t>
            </w:r>
            <w:r>
              <w:rPr>
                <w:spacing w:val="-1"/>
                <w:w w:val="116"/>
                <w:sz w:val="19"/>
              </w:rPr>
              <w:t>r</w:t>
            </w:r>
            <w:r>
              <w:rPr>
                <w:spacing w:val="3"/>
                <w:w w:val="116"/>
                <w:sz w:val="19"/>
              </w:rPr>
              <w:t>i</w:t>
            </w:r>
            <w:r>
              <w:rPr>
                <w:spacing w:val="-1"/>
                <w:w w:val="118"/>
                <w:sz w:val="19"/>
              </w:rPr>
              <w:t>n</w:t>
            </w:r>
            <w:r>
              <w:rPr>
                <w:spacing w:val="1"/>
                <w:w w:val="118"/>
                <w:sz w:val="19"/>
              </w:rPr>
              <w:t>a</w:t>
            </w:r>
            <w:r>
              <w:rPr>
                <w:spacing w:val="1"/>
                <w:w w:val="114"/>
                <w:sz w:val="19"/>
              </w:rPr>
              <w:t>b</w:t>
            </w:r>
            <w:r>
              <w:rPr>
                <w:spacing w:val="-1"/>
                <w:w w:val="112"/>
                <w:sz w:val="19"/>
              </w:rPr>
              <w:t>o</w:t>
            </w:r>
            <w:r>
              <w:rPr>
                <w:w w:val="108"/>
                <w:sz w:val="19"/>
              </w:rPr>
              <w:t>l</w:t>
            </w:r>
            <w:r>
              <w:rPr>
                <w:sz w:val="19"/>
              </w:rPr>
              <w:t> </w:t>
            </w:r>
            <w:r>
              <w:rPr>
                <w:spacing w:val="14"/>
                <w:sz w:val="19"/>
              </w:rPr>
              <w:t> </w:t>
            </w:r>
            <w:r>
              <w:rPr>
                <w:spacing w:val="2"/>
                <w:w w:val="103"/>
                <w:sz w:val="19"/>
              </w:rPr>
              <w:t>5</w:t>
            </w:r>
            <w:r>
              <w:rPr>
                <w:w w:val="103"/>
                <w:sz w:val="19"/>
              </w:rPr>
              <w:t>0</w:t>
            </w:r>
            <w:r>
              <w:rPr>
                <w:spacing w:val="1"/>
                <w:w w:val="103"/>
                <w:sz w:val="19"/>
              </w:rPr>
              <w:t>,</w:t>
            </w:r>
            <w:r>
              <w:rPr>
                <w:spacing w:val="2"/>
                <w:w w:val="103"/>
                <w:sz w:val="19"/>
              </w:rPr>
              <w:t>0</w:t>
            </w:r>
            <w:r>
              <w:rPr>
                <w:spacing w:val="3"/>
                <w:w w:val="103"/>
                <w:sz w:val="19"/>
              </w:rPr>
              <w:t>0</w:t>
            </w:r>
            <w:r>
              <w:rPr>
                <w:spacing w:val="-1"/>
                <w:w w:val="99"/>
                <w:sz w:val="19"/>
              </w:rPr>
              <w:t>0</w:t>
            </w:r>
            <w:r>
              <w:rPr>
                <w:w w:val="99"/>
                <w:sz w:val="19"/>
              </w:rPr>
              <w:t>;</w:t>
            </w:r>
            <w:r>
              <w:rPr>
                <w:sz w:val="19"/>
              </w:rPr>
              <w:t> </w:t>
            </w:r>
            <w:r>
              <w:rPr>
                <w:spacing w:val="12"/>
                <w:sz w:val="19"/>
              </w:rPr>
              <w:t> </w:t>
            </w:r>
            <w:r>
              <w:rPr>
                <w:spacing w:val="-1"/>
                <w:w w:val="109"/>
                <w:sz w:val="19"/>
              </w:rPr>
              <w:t>o</w:t>
            </w:r>
            <w:r>
              <w:rPr>
                <w:spacing w:val="2"/>
                <w:w w:val="109"/>
                <w:sz w:val="19"/>
              </w:rPr>
              <w:t>x</w:t>
            </w:r>
            <w:r>
              <w:rPr>
                <w:spacing w:val="3"/>
                <w:w w:val="116"/>
                <w:sz w:val="19"/>
              </w:rPr>
              <w:t>a</w:t>
            </w:r>
            <w:r>
              <w:rPr>
                <w:spacing w:val="-1"/>
                <w:w w:val="120"/>
                <w:sz w:val="19"/>
              </w:rPr>
              <w:t>n</w:t>
            </w:r>
            <w:r>
              <w:rPr>
                <w:spacing w:val="1"/>
                <w:w w:val="126"/>
                <w:sz w:val="19"/>
              </w:rPr>
              <w:t>d</w:t>
            </w:r>
            <w:r>
              <w:rPr>
                <w:w w:val="122"/>
                <w:sz w:val="19"/>
              </w:rPr>
              <w:t>r</w:t>
            </w:r>
            <w:r>
              <w:rPr>
                <w:spacing w:val="3"/>
                <w:w w:val="112"/>
                <w:sz w:val="19"/>
              </w:rPr>
              <w:t>o</w:t>
            </w:r>
            <w:r>
              <w:rPr>
                <w:spacing w:val="1"/>
                <w:w w:val="108"/>
                <w:sz w:val="19"/>
              </w:rPr>
              <w:t>l</w:t>
            </w:r>
            <w:r>
              <w:rPr>
                <w:spacing w:val="-1"/>
                <w:w w:val="116"/>
                <w:sz w:val="19"/>
              </w:rPr>
              <w:t>o</w:t>
            </w:r>
            <w:r>
              <w:rPr>
                <w:spacing w:val="5"/>
                <w:w w:val="116"/>
                <w:sz w:val="19"/>
              </w:rPr>
              <w:t>n</w:t>
            </w:r>
            <w:r>
              <w:rPr>
                <w:w w:val="111"/>
                <w:sz w:val="19"/>
              </w:rPr>
              <w:t>e</w:t>
            </w:r>
          </w:p>
          <w:p>
            <w:pPr>
              <w:pStyle w:val="TableParagraph"/>
              <w:spacing w:before="1"/>
              <w:ind w:left="0"/>
              <w:rPr>
                <w:sz w:val="23"/>
              </w:rPr>
            </w:pPr>
          </w:p>
          <w:p>
            <w:pPr>
              <w:pStyle w:val="TableParagraph"/>
              <w:spacing w:before="1"/>
              <w:ind w:right="5"/>
              <w:rPr>
                <w:sz w:val="19"/>
              </w:rPr>
            </w:pPr>
            <w:r>
              <w:rPr>
                <w:w w:val="105"/>
                <w:sz w:val="19"/>
              </w:rPr>
              <w:t>8,000</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ind w:left="0"/>
              <w:rPr>
                <w:sz w:val="20"/>
              </w:rPr>
            </w:pPr>
          </w:p>
          <w:p>
            <w:pPr>
              <w:pStyle w:val="TableParagraph"/>
              <w:spacing w:before="9"/>
              <w:ind w:left="0"/>
              <w:rPr>
                <w:sz w:val="21"/>
              </w:rPr>
            </w:pPr>
          </w:p>
          <w:p>
            <w:pPr>
              <w:pStyle w:val="TableParagraph"/>
              <w:ind w:left="105" w:right="27"/>
              <w:rPr>
                <w:sz w:val="19"/>
              </w:rPr>
            </w:pPr>
            <w:r>
              <w:rPr>
                <w:w w:val="115"/>
                <w:sz w:val="19"/>
              </w:rPr>
              <w:t>Negative Findings</w:t>
            </w:r>
          </w:p>
        </w:tc>
      </w:tr>
      <w:tr>
        <w:trPr>
          <w:trHeight w:val="494" w:hRule="exact"/>
        </w:trPr>
        <w:tc>
          <w:tcPr>
            <w:tcW w:w="1291"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rPr>
                <w:sz w:val="19"/>
              </w:rPr>
            </w:pPr>
            <w:r>
              <w:rPr>
                <w:w w:val="105"/>
                <w:sz w:val="19"/>
              </w:rPr>
              <w:t>56</w:t>
            </w:r>
          </w:p>
        </w:tc>
        <w:tc>
          <w:tcPr>
            <w:tcW w:w="5386"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right="5"/>
              <w:rPr>
                <w:sz w:val="19"/>
              </w:rPr>
            </w:pPr>
            <w:r>
              <w:rPr>
                <w:w w:val="115"/>
                <w:sz w:val="19"/>
              </w:rPr>
              <w:t>oralturinabol 4,000</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left="105" w:right="27"/>
              <w:rPr>
                <w:sz w:val="19"/>
              </w:rPr>
            </w:pPr>
            <w:r>
              <w:rPr>
                <w:w w:val="115"/>
                <w:sz w:val="19"/>
              </w:rPr>
              <w:t>Negative Findings</w:t>
            </w:r>
          </w:p>
        </w:tc>
      </w:tr>
      <w:tr>
        <w:trPr>
          <w:trHeight w:val="974" w:hRule="exact"/>
        </w:trPr>
        <w:tc>
          <w:tcPr>
            <w:tcW w:w="1291" w:type="dxa"/>
            <w:tcBorders>
              <w:top w:val="single" w:sz="5" w:space="0" w:color="000000"/>
              <w:left w:val="single" w:sz="5" w:space="0" w:color="000000"/>
              <w:bottom w:val="single" w:sz="5" w:space="0" w:color="000000"/>
              <w:right w:val="single" w:sz="5" w:space="0" w:color="000000"/>
            </w:tcBorders>
          </w:tcPr>
          <w:p>
            <w:pPr>
              <w:pStyle w:val="TableParagraph"/>
              <w:ind w:left="0"/>
              <w:rPr>
                <w:sz w:val="20"/>
              </w:rPr>
            </w:pPr>
          </w:p>
          <w:p>
            <w:pPr>
              <w:pStyle w:val="TableParagraph"/>
              <w:spacing w:before="4"/>
              <w:ind w:left="0"/>
              <w:rPr>
                <w:sz w:val="21"/>
              </w:rPr>
            </w:pPr>
          </w:p>
          <w:p>
            <w:pPr>
              <w:pStyle w:val="TableParagraph"/>
              <w:rPr>
                <w:sz w:val="19"/>
              </w:rPr>
            </w:pPr>
            <w:r>
              <w:rPr>
                <w:w w:val="105"/>
                <w:sz w:val="19"/>
              </w:rPr>
              <w:t>57</w:t>
            </w:r>
          </w:p>
        </w:tc>
        <w:tc>
          <w:tcPr>
            <w:tcW w:w="5386" w:type="dxa"/>
            <w:tcBorders>
              <w:top w:val="single" w:sz="5" w:space="0" w:color="000000"/>
              <w:left w:val="single" w:sz="5" w:space="0" w:color="000000"/>
              <w:bottom w:val="single" w:sz="5" w:space="0" w:color="000000"/>
              <w:right w:val="single" w:sz="5" w:space="0" w:color="000000"/>
            </w:tcBorders>
          </w:tcPr>
          <w:p>
            <w:pPr>
              <w:pStyle w:val="TableParagraph"/>
              <w:tabs>
                <w:tab w:pos="1835" w:val="left" w:leader="none"/>
                <w:tab w:pos="2973" w:val="left" w:leader="none"/>
                <w:tab w:pos="4672" w:val="left" w:leader="none"/>
              </w:tabs>
              <w:spacing w:line="214" w:lineRule="exact"/>
              <w:rPr>
                <w:sz w:val="19"/>
              </w:rPr>
            </w:pPr>
            <w:r>
              <w:rPr>
                <w:w w:val="115"/>
                <w:sz w:val="19"/>
              </w:rPr>
              <w:t>methasterone</w:t>
              <w:tab/>
              <w:t>90,000;</w:t>
              <w:tab/>
              <w:t>oralturinabol</w:t>
              <w:tab/>
              <w:t>12,000;</w:t>
            </w:r>
          </w:p>
          <w:p>
            <w:pPr>
              <w:pStyle w:val="TableParagraph"/>
              <w:spacing w:before="8"/>
              <w:ind w:left="0"/>
              <w:rPr>
                <w:sz w:val="22"/>
              </w:rPr>
            </w:pPr>
          </w:p>
          <w:p>
            <w:pPr>
              <w:pStyle w:val="TableParagraph"/>
              <w:ind w:right="5"/>
              <w:rPr>
                <w:sz w:val="19"/>
              </w:rPr>
            </w:pPr>
            <w:r>
              <w:rPr>
                <w:w w:val="110"/>
                <w:sz w:val="19"/>
              </w:rPr>
              <w:t>desoxymethyltestosterone  10,000</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ind w:left="0"/>
              <w:rPr>
                <w:sz w:val="20"/>
              </w:rPr>
            </w:pPr>
          </w:p>
          <w:p>
            <w:pPr>
              <w:pStyle w:val="TableParagraph"/>
              <w:spacing w:before="4"/>
              <w:ind w:left="0"/>
              <w:rPr>
                <w:sz w:val="21"/>
              </w:rPr>
            </w:pPr>
          </w:p>
          <w:p>
            <w:pPr>
              <w:pStyle w:val="TableParagraph"/>
              <w:ind w:left="105" w:right="27"/>
              <w:rPr>
                <w:sz w:val="19"/>
              </w:rPr>
            </w:pPr>
            <w:r>
              <w:rPr>
                <w:w w:val="115"/>
                <w:sz w:val="19"/>
              </w:rPr>
              <w:t>Negative Findings</w:t>
            </w:r>
          </w:p>
        </w:tc>
      </w:tr>
      <w:tr>
        <w:trPr>
          <w:trHeight w:val="974" w:hRule="exact"/>
        </w:trPr>
        <w:tc>
          <w:tcPr>
            <w:tcW w:w="1291" w:type="dxa"/>
            <w:tcBorders>
              <w:top w:val="single" w:sz="5" w:space="0" w:color="000000"/>
              <w:left w:val="single" w:sz="5" w:space="0" w:color="000000"/>
              <w:bottom w:val="single" w:sz="5" w:space="0" w:color="000000"/>
              <w:right w:val="single" w:sz="5" w:space="0" w:color="000000"/>
            </w:tcBorders>
          </w:tcPr>
          <w:p>
            <w:pPr>
              <w:pStyle w:val="TableParagraph"/>
              <w:ind w:left="0"/>
              <w:rPr>
                <w:sz w:val="20"/>
              </w:rPr>
            </w:pPr>
          </w:p>
          <w:p>
            <w:pPr>
              <w:pStyle w:val="TableParagraph"/>
              <w:spacing w:before="4"/>
              <w:ind w:left="0"/>
              <w:rPr>
                <w:sz w:val="21"/>
              </w:rPr>
            </w:pPr>
          </w:p>
          <w:p>
            <w:pPr>
              <w:pStyle w:val="TableParagraph"/>
              <w:rPr>
                <w:sz w:val="19"/>
              </w:rPr>
            </w:pPr>
            <w:r>
              <w:rPr>
                <w:w w:val="105"/>
                <w:sz w:val="19"/>
              </w:rPr>
              <w:t>58</w:t>
            </w:r>
          </w:p>
        </w:tc>
        <w:tc>
          <w:tcPr>
            <w:tcW w:w="5386"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right="5"/>
              <w:rPr>
                <w:sz w:val="19"/>
              </w:rPr>
            </w:pPr>
            <w:r>
              <w:rPr>
                <w:w w:val="115"/>
                <w:sz w:val="19"/>
              </w:rPr>
              <w:t>methasterone 160,000; oralturinabol 400,000; oxandrolone</w:t>
            </w:r>
          </w:p>
          <w:p>
            <w:pPr>
              <w:pStyle w:val="TableParagraph"/>
              <w:spacing w:before="8"/>
              <w:ind w:left="0"/>
              <w:rPr>
                <w:sz w:val="22"/>
              </w:rPr>
            </w:pPr>
          </w:p>
          <w:p>
            <w:pPr>
              <w:pStyle w:val="TableParagraph"/>
              <w:ind w:right="5"/>
              <w:rPr>
                <w:sz w:val="19"/>
              </w:rPr>
            </w:pPr>
            <w:r>
              <w:rPr>
                <w:w w:val="105"/>
                <w:sz w:val="19"/>
              </w:rPr>
              <w:t>5,000;   desoxymethyltestosterone   15,000</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ind w:left="0"/>
              <w:rPr>
                <w:sz w:val="20"/>
              </w:rPr>
            </w:pPr>
          </w:p>
          <w:p>
            <w:pPr>
              <w:pStyle w:val="TableParagraph"/>
              <w:spacing w:before="4"/>
              <w:ind w:left="0"/>
              <w:rPr>
                <w:sz w:val="21"/>
              </w:rPr>
            </w:pPr>
          </w:p>
          <w:p>
            <w:pPr>
              <w:pStyle w:val="TableParagraph"/>
              <w:ind w:left="105" w:right="27"/>
              <w:rPr>
                <w:sz w:val="19"/>
              </w:rPr>
            </w:pPr>
            <w:r>
              <w:rPr>
                <w:w w:val="115"/>
                <w:sz w:val="19"/>
              </w:rPr>
              <w:t>Negative Findings</w:t>
            </w:r>
          </w:p>
        </w:tc>
      </w:tr>
    </w:tbl>
    <w:p>
      <w:pPr>
        <w:spacing w:after="0"/>
        <w:rPr>
          <w:sz w:val="19"/>
        </w:rPr>
        <w:sectPr>
          <w:footerReference w:type="default" r:id="rId134"/>
          <w:pgSz w:w="12240" w:h="15840"/>
          <w:pgMar w:footer="707" w:header="0" w:top="1460" w:bottom="900" w:left="1680" w:right="1220"/>
        </w:sect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91"/>
        <w:gridCol w:w="5386"/>
        <w:gridCol w:w="2410"/>
      </w:tblGrid>
      <w:tr>
        <w:trPr>
          <w:trHeight w:val="486" w:hRule="exact"/>
        </w:trPr>
        <w:tc>
          <w:tcPr>
            <w:tcW w:w="1291" w:type="dxa"/>
            <w:tcBorders>
              <w:left w:val="single" w:sz="5" w:space="0" w:color="000000"/>
              <w:bottom w:val="single" w:sz="5" w:space="0" w:color="000000"/>
              <w:right w:val="single" w:sz="5" w:space="0" w:color="000000"/>
            </w:tcBorders>
          </w:tcPr>
          <w:p>
            <w:pPr>
              <w:pStyle w:val="TableParagraph"/>
              <w:spacing w:line="217" w:lineRule="exact"/>
              <w:rPr>
                <w:sz w:val="19"/>
              </w:rPr>
            </w:pPr>
            <w:r>
              <w:rPr>
                <w:w w:val="105"/>
                <w:sz w:val="19"/>
              </w:rPr>
              <w:t>59</w:t>
            </w:r>
          </w:p>
        </w:tc>
        <w:tc>
          <w:tcPr>
            <w:tcW w:w="5386" w:type="dxa"/>
            <w:tcBorders>
              <w:left w:val="single" w:sz="5" w:space="0" w:color="000000"/>
              <w:bottom w:val="single" w:sz="5" w:space="0" w:color="000000"/>
              <w:right w:val="single" w:sz="5" w:space="0" w:color="000000"/>
            </w:tcBorders>
          </w:tcPr>
          <w:p>
            <w:pPr>
              <w:pStyle w:val="TableParagraph"/>
              <w:spacing w:line="217" w:lineRule="exact"/>
              <w:ind w:right="5"/>
              <w:rPr>
                <w:sz w:val="19"/>
              </w:rPr>
            </w:pPr>
            <w:r>
              <w:rPr>
                <w:w w:val="110"/>
                <w:sz w:val="19"/>
              </w:rPr>
              <w:t>oralturinabol 590,000</w:t>
            </w:r>
          </w:p>
        </w:tc>
        <w:tc>
          <w:tcPr>
            <w:tcW w:w="2410" w:type="dxa"/>
            <w:tcBorders>
              <w:left w:val="single" w:sz="5" w:space="0" w:color="000000"/>
              <w:bottom w:val="single" w:sz="5" w:space="0" w:color="000000"/>
              <w:right w:val="single" w:sz="5" w:space="0" w:color="000000"/>
            </w:tcBorders>
          </w:tcPr>
          <w:p>
            <w:pPr>
              <w:pStyle w:val="TableParagraph"/>
              <w:spacing w:line="217" w:lineRule="exact"/>
              <w:ind w:left="105" w:right="27"/>
              <w:rPr>
                <w:sz w:val="19"/>
              </w:rPr>
            </w:pPr>
            <w:r>
              <w:rPr>
                <w:w w:val="115"/>
                <w:sz w:val="19"/>
              </w:rPr>
              <w:t>Negative Findings</w:t>
            </w:r>
          </w:p>
        </w:tc>
      </w:tr>
      <w:tr>
        <w:trPr>
          <w:trHeight w:val="494" w:hRule="exact"/>
        </w:trPr>
        <w:tc>
          <w:tcPr>
            <w:tcW w:w="1291" w:type="dxa"/>
            <w:tcBorders>
              <w:top w:val="single" w:sz="5" w:space="0" w:color="000000"/>
              <w:left w:val="single" w:sz="5" w:space="0" w:color="000000"/>
              <w:bottom w:val="single" w:sz="5" w:space="0" w:color="000000"/>
              <w:right w:val="single" w:sz="5" w:space="0" w:color="000000"/>
            </w:tcBorders>
          </w:tcPr>
          <w:p>
            <w:pPr>
              <w:pStyle w:val="TableParagraph"/>
              <w:spacing w:line="218" w:lineRule="exact"/>
              <w:rPr>
                <w:sz w:val="19"/>
              </w:rPr>
            </w:pPr>
            <w:r>
              <w:rPr>
                <w:w w:val="105"/>
                <w:sz w:val="19"/>
              </w:rPr>
              <w:t>60</w:t>
            </w:r>
          </w:p>
        </w:tc>
        <w:tc>
          <w:tcPr>
            <w:tcW w:w="5386" w:type="dxa"/>
            <w:tcBorders>
              <w:top w:val="single" w:sz="5" w:space="0" w:color="000000"/>
              <w:left w:val="single" w:sz="5" w:space="0" w:color="000000"/>
              <w:bottom w:val="single" w:sz="5" w:space="0" w:color="000000"/>
              <w:right w:val="single" w:sz="5" w:space="0" w:color="000000"/>
            </w:tcBorders>
          </w:tcPr>
          <w:p>
            <w:pPr>
              <w:pStyle w:val="TableParagraph"/>
              <w:spacing w:line="218" w:lineRule="exact"/>
              <w:ind w:right="5"/>
              <w:rPr>
                <w:sz w:val="19"/>
              </w:rPr>
            </w:pPr>
            <w:r>
              <w:rPr>
                <w:w w:val="110"/>
                <w:sz w:val="19"/>
              </w:rPr>
              <w:t>oxandrolone 12,000</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18" w:lineRule="exact"/>
              <w:ind w:left="105" w:right="27"/>
              <w:rPr>
                <w:sz w:val="19"/>
              </w:rPr>
            </w:pPr>
            <w:r>
              <w:rPr>
                <w:w w:val="115"/>
                <w:sz w:val="19"/>
              </w:rPr>
              <w:t>Negative Findings</w:t>
            </w:r>
          </w:p>
        </w:tc>
      </w:tr>
      <w:tr>
        <w:trPr>
          <w:trHeight w:val="494" w:hRule="exact"/>
        </w:trPr>
        <w:tc>
          <w:tcPr>
            <w:tcW w:w="1291"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rPr>
                <w:sz w:val="19"/>
              </w:rPr>
            </w:pPr>
            <w:r>
              <w:rPr>
                <w:w w:val="105"/>
                <w:sz w:val="19"/>
              </w:rPr>
              <w:t>61</w:t>
            </w:r>
          </w:p>
        </w:tc>
        <w:tc>
          <w:tcPr>
            <w:tcW w:w="5386"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right="5"/>
              <w:rPr>
                <w:sz w:val="19"/>
              </w:rPr>
            </w:pPr>
            <w:r>
              <w:rPr>
                <w:w w:val="110"/>
                <w:sz w:val="19"/>
              </w:rPr>
              <w:t>oxandrolone 19,001</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left="105" w:right="27"/>
              <w:rPr>
                <w:sz w:val="19"/>
              </w:rPr>
            </w:pPr>
            <w:r>
              <w:rPr>
                <w:w w:val="115"/>
                <w:sz w:val="19"/>
              </w:rPr>
              <w:t>Negative Findings</w:t>
            </w:r>
          </w:p>
        </w:tc>
      </w:tr>
      <w:tr>
        <w:trPr>
          <w:trHeight w:val="490" w:hRule="exact"/>
        </w:trPr>
        <w:tc>
          <w:tcPr>
            <w:tcW w:w="1291"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rPr>
                <w:sz w:val="19"/>
              </w:rPr>
            </w:pPr>
            <w:r>
              <w:rPr>
                <w:w w:val="105"/>
                <w:sz w:val="19"/>
              </w:rPr>
              <w:t>62</w:t>
            </w:r>
          </w:p>
        </w:tc>
        <w:tc>
          <w:tcPr>
            <w:tcW w:w="5386"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right="5"/>
              <w:rPr>
                <w:sz w:val="19"/>
              </w:rPr>
            </w:pPr>
            <w:r>
              <w:rPr>
                <w:w w:val="115"/>
                <w:sz w:val="19"/>
              </w:rPr>
              <w:t>oralturinabol 45,000; oxandrolone 1,800</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left="105" w:right="27"/>
              <w:rPr>
                <w:sz w:val="19"/>
              </w:rPr>
            </w:pPr>
            <w:r>
              <w:rPr>
                <w:w w:val="115"/>
                <w:sz w:val="19"/>
              </w:rPr>
              <w:t>Negative Findings</w:t>
            </w:r>
          </w:p>
        </w:tc>
      </w:tr>
      <w:tr>
        <w:trPr>
          <w:trHeight w:val="494" w:hRule="exact"/>
        </w:trPr>
        <w:tc>
          <w:tcPr>
            <w:tcW w:w="1291"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rPr>
                <w:sz w:val="19"/>
              </w:rPr>
            </w:pPr>
            <w:r>
              <w:rPr>
                <w:w w:val="105"/>
                <w:sz w:val="19"/>
              </w:rPr>
              <w:t>63</w:t>
            </w:r>
          </w:p>
        </w:tc>
        <w:tc>
          <w:tcPr>
            <w:tcW w:w="5386"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right="5"/>
              <w:rPr>
                <w:sz w:val="19"/>
              </w:rPr>
            </w:pPr>
            <w:r>
              <w:rPr>
                <w:w w:val="115"/>
                <w:sz w:val="19"/>
              </w:rPr>
              <w:t>oralturinabol 30,001</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left="105" w:right="27"/>
              <w:rPr>
                <w:sz w:val="19"/>
              </w:rPr>
            </w:pPr>
            <w:r>
              <w:rPr>
                <w:w w:val="115"/>
                <w:sz w:val="19"/>
              </w:rPr>
              <w:t>Negative Findings</w:t>
            </w:r>
          </w:p>
        </w:tc>
      </w:tr>
      <w:tr>
        <w:trPr>
          <w:trHeight w:val="489" w:hRule="exact"/>
        </w:trPr>
        <w:tc>
          <w:tcPr>
            <w:tcW w:w="1291" w:type="dxa"/>
            <w:tcBorders>
              <w:top w:val="single" w:sz="5" w:space="0" w:color="000000"/>
              <w:left w:val="single" w:sz="5" w:space="0" w:color="000000"/>
              <w:bottom w:val="single" w:sz="4" w:space="0" w:color="000000"/>
              <w:right w:val="single" w:sz="5" w:space="0" w:color="000000"/>
            </w:tcBorders>
          </w:tcPr>
          <w:p>
            <w:pPr>
              <w:pStyle w:val="TableParagraph"/>
              <w:spacing w:line="214" w:lineRule="exact"/>
              <w:rPr>
                <w:sz w:val="19"/>
              </w:rPr>
            </w:pPr>
            <w:r>
              <w:rPr>
                <w:w w:val="105"/>
                <w:sz w:val="19"/>
              </w:rPr>
              <w:t>64</w:t>
            </w:r>
          </w:p>
        </w:tc>
        <w:tc>
          <w:tcPr>
            <w:tcW w:w="5386" w:type="dxa"/>
            <w:tcBorders>
              <w:top w:val="single" w:sz="5" w:space="0" w:color="000000"/>
              <w:left w:val="single" w:sz="5" w:space="0" w:color="000000"/>
              <w:bottom w:val="single" w:sz="4" w:space="0" w:color="000000"/>
              <w:right w:val="single" w:sz="5" w:space="0" w:color="000000"/>
            </w:tcBorders>
          </w:tcPr>
          <w:p>
            <w:pPr>
              <w:pStyle w:val="TableParagraph"/>
              <w:spacing w:line="214" w:lineRule="exact"/>
              <w:ind w:right="5"/>
              <w:rPr>
                <w:sz w:val="19"/>
              </w:rPr>
            </w:pPr>
            <w:r>
              <w:rPr>
                <w:w w:val="110"/>
                <w:sz w:val="19"/>
              </w:rPr>
              <w:t>methyltestosterone  30,000</w:t>
            </w:r>
          </w:p>
        </w:tc>
        <w:tc>
          <w:tcPr>
            <w:tcW w:w="2410" w:type="dxa"/>
            <w:tcBorders>
              <w:top w:val="single" w:sz="5" w:space="0" w:color="000000"/>
              <w:left w:val="single" w:sz="5" w:space="0" w:color="000000"/>
              <w:bottom w:val="single" w:sz="4" w:space="0" w:color="000000"/>
              <w:right w:val="single" w:sz="5" w:space="0" w:color="000000"/>
            </w:tcBorders>
          </w:tcPr>
          <w:p>
            <w:pPr>
              <w:pStyle w:val="TableParagraph"/>
              <w:spacing w:line="214" w:lineRule="exact"/>
              <w:ind w:left="105" w:right="27"/>
              <w:rPr>
                <w:sz w:val="19"/>
              </w:rPr>
            </w:pPr>
            <w:r>
              <w:rPr>
                <w:w w:val="115"/>
                <w:sz w:val="19"/>
              </w:rPr>
              <w:t>Negative Findings</w:t>
            </w:r>
          </w:p>
        </w:tc>
      </w:tr>
      <w:tr>
        <w:trPr>
          <w:trHeight w:val="975" w:hRule="exact"/>
        </w:trPr>
        <w:tc>
          <w:tcPr>
            <w:tcW w:w="1291" w:type="dxa"/>
            <w:tcBorders>
              <w:top w:val="single" w:sz="4" w:space="0" w:color="000000"/>
              <w:left w:val="single" w:sz="5" w:space="0" w:color="000000"/>
              <w:bottom w:val="single" w:sz="5" w:space="0" w:color="000000"/>
              <w:right w:val="single" w:sz="5" w:space="0" w:color="000000"/>
            </w:tcBorders>
          </w:tcPr>
          <w:p>
            <w:pPr>
              <w:pStyle w:val="TableParagraph"/>
              <w:ind w:left="0"/>
              <w:rPr>
                <w:sz w:val="20"/>
              </w:rPr>
            </w:pPr>
          </w:p>
          <w:p>
            <w:pPr>
              <w:pStyle w:val="TableParagraph"/>
              <w:spacing w:before="10"/>
              <w:ind w:left="0"/>
              <w:rPr>
                <w:sz w:val="21"/>
              </w:rPr>
            </w:pPr>
          </w:p>
          <w:p>
            <w:pPr>
              <w:pStyle w:val="TableParagraph"/>
              <w:rPr>
                <w:sz w:val="19"/>
              </w:rPr>
            </w:pPr>
            <w:r>
              <w:rPr>
                <w:w w:val="105"/>
                <w:sz w:val="19"/>
              </w:rPr>
              <w:t>65</w:t>
            </w:r>
          </w:p>
        </w:tc>
        <w:tc>
          <w:tcPr>
            <w:tcW w:w="5386" w:type="dxa"/>
            <w:tcBorders>
              <w:top w:val="single" w:sz="4" w:space="0" w:color="000000"/>
              <w:left w:val="single" w:sz="5" w:space="0" w:color="000000"/>
              <w:bottom w:val="single" w:sz="5" w:space="0" w:color="000000"/>
              <w:right w:val="single" w:sz="5" w:space="0" w:color="000000"/>
            </w:tcBorders>
          </w:tcPr>
          <w:p>
            <w:pPr>
              <w:pStyle w:val="TableParagraph"/>
              <w:spacing w:line="215" w:lineRule="exact"/>
              <w:ind w:right="5"/>
              <w:rPr>
                <w:sz w:val="19"/>
              </w:rPr>
            </w:pPr>
            <w:r>
              <w:rPr>
                <w:spacing w:val="-1"/>
                <w:w w:val="112"/>
                <w:sz w:val="19"/>
              </w:rPr>
              <w:t>o</w:t>
            </w:r>
            <w:r>
              <w:rPr>
                <w:spacing w:val="2"/>
                <w:w w:val="122"/>
                <w:sz w:val="19"/>
              </w:rPr>
              <w:t>r</w:t>
            </w:r>
            <w:r>
              <w:rPr>
                <w:spacing w:val="1"/>
                <w:w w:val="115"/>
                <w:sz w:val="19"/>
              </w:rPr>
              <w:t>al</w:t>
            </w:r>
            <w:r>
              <w:rPr>
                <w:spacing w:val="3"/>
                <w:w w:val="115"/>
                <w:sz w:val="19"/>
              </w:rPr>
              <w:t>t</w:t>
            </w:r>
            <w:r>
              <w:rPr>
                <w:w w:val="124"/>
                <w:sz w:val="19"/>
              </w:rPr>
              <w:t>u</w:t>
            </w:r>
            <w:r>
              <w:rPr>
                <w:spacing w:val="3"/>
                <w:w w:val="122"/>
                <w:sz w:val="19"/>
              </w:rPr>
              <w:t>r</w:t>
            </w:r>
            <w:r>
              <w:rPr>
                <w:spacing w:val="-1"/>
                <w:w w:val="108"/>
                <w:sz w:val="19"/>
              </w:rPr>
              <w:t>i</w:t>
            </w:r>
            <w:r>
              <w:rPr>
                <w:spacing w:val="3"/>
                <w:w w:val="120"/>
                <w:sz w:val="19"/>
              </w:rPr>
              <w:t>n</w:t>
            </w:r>
            <w:r>
              <w:rPr>
                <w:w w:val="116"/>
                <w:sz w:val="19"/>
              </w:rPr>
              <w:t>a</w:t>
            </w:r>
            <w:r>
              <w:rPr>
                <w:spacing w:val="1"/>
                <w:w w:val="113"/>
                <w:sz w:val="19"/>
              </w:rPr>
              <w:t>b</w:t>
            </w:r>
            <w:r>
              <w:rPr>
                <w:spacing w:val="3"/>
                <w:w w:val="113"/>
                <w:sz w:val="19"/>
              </w:rPr>
              <w:t>o</w:t>
            </w:r>
            <w:r>
              <w:rPr>
                <w:w w:val="108"/>
                <w:sz w:val="19"/>
              </w:rPr>
              <w:t>l</w:t>
            </w:r>
            <w:r>
              <w:rPr>
                <w:sz w:val="19"/>
              </w:rPr>
              <w:t>  </w:t>
            </w:r>
            <w:r>
              <w:rPr>
                <w:spacing w:val="13"/>
                <w:sz w:val="19"/>
              </w:rPr>
              <w:t> </w:t>
            </w:r>
            <w:r>
              <w:rPr>
                <w:spacing w:val="1"/>
                <w:w w:val="103"/>
                <w:sz w:val="19"/>
              </w:rPr>
              <w:t>4</w:t>
            </w:r>
            <w:r>
              <w:rPr>
                <w:spacing w:val="2"/>
                <w:w w:val="103"/>
                <w:sz w:val="19"/>
              </w:rPr>
              <w:t>,</w:t>
            </w:r>
            <w:r>
              <w:rPr>
                <w:w w:val="103"/>
                <w:sz w:val="19"/>
              </w:rPr>
              <w:t>0</w:t>
            </w:r>
            <w:r>
              <w:rPr>
                <w:spacing w:val="1"/>
                <w:w w:val="103"/>
                <w:sz w:val="19"/>
              </w:rPr>
              <w:t>0</w:t>
            </w:r>
            <w:r>
              <w:rPr>
                <w:spacing w:val="3"/>
                <w:w w:val="103"/>
                <w:sz w:val="19"/>
              </w:rPr>
              <w:t>0</w:t>
            </w:r>
            <w:r>
              <w:rPr>
                <w:w w:val="93"/>
                <w:sz w:val="19"/>
              </w:rPr>
              <w:t>;</w:t>
            </w:r>
            <w:r>
              <w:rPr>
                <w:sz w:val="19"/>
              </w:rPr>
              <w:t>  </w:t>
            </w:r>
            <w:r>
              <w:rPr>
                <w:spacing w:val="14"/>
                <w:sz w:val="19"/>
              </w:rPr>
              <w:t> </w:t>
            </w:r>
            <w:r>
              <w:rPr>
                <w:spacing w:val="1"/>
                <w:w w:val="114"/>
                <w:sz w:val="19"/>
              </w:rPr>
              <w:t>b</w:t>
            </w:r>
            <w:r>
              <w:rPr>
                <w:spacing w:val="-1"/>
                <w:w w:val="112"/>
                <w:sz w:val="19"/>
              </w:rPr>
              <w:t>o</w:t>
            </w:r>
            <w:r>
              <w:rPr>
                <w:spacing w:val="1"/>
                <w:w w:val="108"/>
                <w:sz w:val="19"/>
              </w:rPr>
              <w:t>l</w:t>
            </w:r>
            <w:r>
              <w:rPr>
                <w:spacing w:val="2"/>
                <w:w w:val="126"/>
                <w:sz w:val="19"/>
              </w:rPr>
              <w:t>d</w:t>
            </w:r>
            <w:r>
              <w:rPr>
                <w:spacing w:val="1"/>
                <w:w w:val="111"/>
                <w:sz w:val="19"/>
              </w:rPr>
              <w:t>e</w:t>
            </w:r>
            <w:r>
              <w:rPr>
                <w:spacing w:val="3"/>
                <w:w w:val="120"/>
                <w:sz w:val="19"/>
              </w:rPr>
              <w:t>n</w:t>
            </w:r>
            <w:r>
              <w:rPr>
                <w:spacing w:val="-1"/>
                <w:w w:val="112"/>
                <w:sz w:val="19"/>
              </w:rPr>
              <w:t>o</w:t>
            </w:r>
            <w:r>
              <w:rPr>
                <w:spacing w:val="4"/>
                <w:w w:val="120"/>
                <w:sz w:val="19"/>
              </w:rPr>
              <w:t>n</w:t>
            </w:r>
            <w:r>
              <w:rPr>
                <w:w w:val="111"/>
                <w:sz w:val="19"/>
              </w:rPr>
              <w:t>e</w:t>
            </w:r>
            <w:r>
              <w:rPr>
                <w:sz w:val="19"/>
              </w:rPr>
              <w:t>  </w:t>
            </w:r>
            <w:r>
              <w:rPr>
                <w:spacing w:val="14"/>
                <w:sz w:val="19"/>
              </w:rPr>
              <w:t> </w:t>
            </w:r>
            <w:r>
              <w:rPr>
                <w:spacing w:val="3"/>
                <w:w w:val="103"/>
                <w:sz w:val="19"/>
              </w:rPr>
              <w:t>8</w:t>
            </w:r>
            <w:r>
              <w:rPr>
                <w:spacing w:val="-2"/>
                <w:w w:val="103"/>
                <w:sz w:val="19"/>
              </w:rPr>
              <w:t>,</w:t>
            </w:r>
            <w:r>
              <w:rPr>
                <w:spacing w:val="1"/>
                <w:w w:val="103"/>
                <w:sz w:val="19"/>
              </w:rPr>
              <w:t>0</w:t>
            </w:r>
            <w:r>
              <w:rPr>
                <w:spacing w:val="3"/>
                <w:w w:val="103"/>
                <w:sz w:val="19"/>
              </w:rPr>
              <w:t>0</w:t>
            </w:r>
            <w:r>
              <w:rPr>
                <w:w w:val="103"/>
                <w:sz w:val="19"/>
              </w:rPr>
              <w:t>0</w:t>
            </w:r>
            <w:r>
              <w:rPr>
                <w:sz w:val="19"/>
              </w:rPr>
              <w:t>  </w:t>
            </w:r>
            <w:r>
              <w:rPr>
                <w:spacing w:val="14"/>
                <w:sz w:val="19"/>
              </w:rPr>
              <w:t> </w:t>
            </w:r>
            <w:r>
              <w:rPr>
                <w:w w:val="103"/>
                <w:sz w:val="19"/>
              </w:rPr>
              <w:t>(</w:t>
            </w:r>
            <w:r>
              <w:rPr>
                <w:spacing w:val="1"/>
                <w:w w:val="103"/>
                <w:sz w:val="19"/>
              </w:rPr>
              <w:t>0</w:t>
            </w:r>
            <w:r>
              <w:rPr>
                <w:spacing w:val="2"/>
                <w:w w:val="103"/>
                <w:sz w:val="19"/>
              </w:rPr>
              <w:t>.</w:t>
            </w:r>
            <w:r>
              <w:rPr>
                <w:w w:val="103"/>
                <w:sz w:val="19"/>
              </w:rPr>
              <w:t>6</w:t>
            </w:r>
            <w:r>
              <w:rPr>
                <w:sz w:val="19"/>
              </w:rPr>
              <w:t>  </w:t>
            </w:r>
            <w:r>
              <w:rPr>
                <w:spacing w:val="15"/>
                <w:sz w:val="19"/>
              </w:rPr>
              <w:t> </w:t>
            </w:r>
            <w:r>
              <w:rPr>
                <w:spacing w:val="-1"/>
                <w:w w:val="120"/>
                <w:sz w:val="19"/>
              </w:rPr>
              <w:t>n</w:t>
            </w:r>
            <w:r>
              <w:rPr>
                <w:spacing w:val="3"/>
                <w:w w:val="115"/>
                <w:sz w:val="19"/>
              </w:rPr>
              <w:t>g</w:t>
            </w:r>
            <w:r>
              <w:rPr>
                <w:spacing w:val="-1"/>
                <w:w w:val="225"/>
                <w:sz w:val="19"/>
              </w:rPr>
              <w:t>/</w:t>
            </w:r>
            <w:r>
              <w:rPr>
                <w:spacing w:val="5"/>
                <w:w w:val="117"/>
                <w:sz w:val="19"/>
              </w:rPr>
              <w:t>m</w:t>
            </w:r>
            <w:r>
              <w:rPr>
                <w:spacing w:val="1"/>
                <w:w w:val="101"/>
                <w:sz w:val="19"/>
              </w:rPr>
              <w:t>l)</w:t>
            </w:r>
            <w:r>
              <w:rPr>
                <w:w w:val="101"/>
                <w:sz w:val="19"/>
              </w:rPr>
              <w:t>;</w:t>
            </w:r>
            <w:r>
              <w:rPr>
                <w:sz w:val="19"/>
              </w:rPr>
              <w:t>  </w:t>
            </w:r>
            <w:r>
              <w:rPr>
                <w:spacing w:val="14"/>
                <w:sz w:val="19"/>
              </w:rPr>
              <w:t> </w:t>
            </w:r>
            <w:r>
              <w:rPr>
                <w:spacing w:val="2"/>
                <w:w w:val="103"/>
                <w:sz w:val="19"/>
              </w:rPr>
              <w:t>1</w:t>
            </w:r>
            <w:r>
              <w:rPr>
                <w:w w:val="103"/>
                <w:sz w:val="19"/>
              </w:rPr>
              <w:t>-</w:t>
            </w:r>
          </w:p>
          <w:p>
            <w:pPr>
              <w:pStyle w:val="TableParagraph"/>
              <w:spacing w:before="1"/>
              <w:ind w:left="0"/>
              <w:rPr>
                <w:sz w:val="23"/>
              </w:rPr>
            </w:pPr>
          </w:p>
          <w:p>
            <w:pPr>
              <w:pStyle w:val="TableParagraph"/>
              <w:spacing w:before="1"/>
              <w:ind w:right="5"/>
              <w:rPr>
                <w:sz w:val="19"/>
              </w:rPr>
            </w:pPr>
            <w:r>
              <w:rPr>
                <w:spacing w:val="-1"/>
                <w:w w:val="121"/>
                <w:sz w:val="19"/>
              </w:rPr>
              <w:t>t</w:t>
            </w:r>
            <w:r>
              <w:rPr>
                <w:spacing w:val="1"/>
                <w:w w:val="111"/>
                <w:sz w:val="19"/>
              </w:rPr>
              <w:t>e</w:t>
            </w:r>
            <w:r>
              <w:rPr>
                <w:w w:val="112"/>
                <w:sz w:val="19"/>
              </w:rPr>
              <w:t>s</w:t>
            </w:r>
            <w:r>
              <w:rPr>
                <w:spacing w:val="3"/>
                <w:w w:val="121"/>
                <w:sz w:val="19"/>
              </w:rPr>
              <w:t>t</w:t>
            </w:r>
            <w:r>
              <w:rPr>
                <w:spacing w:val="-1"/>
                <w:w w:val="112"/>
                <w:sz w:val="19"/>
              </w:rPr>
              <w:t>o</w:t>
            </w:r>
            <w:r>
              <w:rPr>
                <w:spacing w:val="1"/>
                <w:w w:val="112"/>
                <w:sz w:val="19"/>
              </w:rPr>
              <w:t>s</w:t>
            </w:r>
            <w:r>
              <w:rPr>
                <w:spacing w:val="4"/>
                <w:w w:val="121"/>
                <w:sz w:val="19"/>
              </w:rPr>
              <w:t>t</w:t>
            </w:r>
            <w:r>
              <w:rPr>
                <w:spacing w:val="-2"/>
                <w:w w:val="111"/>
                <w:sz w:val="19"/>
              </w:rPr>
              <w:t>e</w:t>
            </w:r>
            <w:r>
              <w:rPr>
                <w:spacing w:val="2"/>
                <w:w w:val="118"/>
                <w:sz w:val="19"/>
              </w:rPr>
              <w:t>ro</w:t>
            </w:r>
            <w:r>
              <w:rPr>
                <w:spacing w:val="-1"/>
                <w:w w:val="118"/>
                <w:sz w:val="19"/>
              </w:rPr>
              <w:t>n</w:t>
            </w:r>
            <w:r>
              <w:rPr>
                <w:w w:val="111"/>
                <w:sz w:val="19"/>
              </w:rPr>
              <w:t>e</w:t>
            </w:r>
            <w:r>
              <w:rPr>
                <w:spacing w:val="5"/>
                <w:sz w:val="19"/>
              </w:rPr>
              <w:t> </w:t>
            </w:r>
            <w:r>
              <w:rPr>
                <w:spacing w:val="1"/>
                <w:w w:val="103"/>
                <w:sz w:val="19"/>
              </w:rPr>
              <w:t>1</w:t>
            </w:r>
            <w:r>
              <w:rPr>
                <w:w w:val="103"/>
                <w:sz w:val="19"/>
              </w:rPr>
              <w:t>5</w:t>
            </w:r>
            <w:r>
              <w:rPr>
                <w:spacing w:val="2"/>
                <w:w w:val="103"/>
                <w:sz w:val="19"/>
              </w:rPr>
              <w:t>,</w:t>
            </w:r>
            <w:r>
              <w:rPr>
                <w:spacing w:val="1"/>
                <w:w w:val="103"/>
                <w:sz w:val="19"/>
              </w:rPr>
              <w:t>0</w:t>
            </w:r>
            <w:r>
              <w:rPr>
                <w:spacing w:val="2"/>
                <w:w w:val="103"/>
                <w:sz w:val="19"/>
              </w:rPr>
              <w:t>0</w:t>
            </w:r>
            <w:r>
              <w:rPr>
                <w:w w:val="103"/>
                <w:sz w:val="19"/>
              </w:rPr>
              <w:t>0</w:t>
            </w:r>
            <w:r>
              <w:rPr>
                <w:spacing w:val="2"/>
                <w:sz w:val="19"/>
              </w:rPr>
              <w:t> </w:t>
            </w:r>
            <w:r>
              <w:rPr>
                <w:spacing w:val="2"/>
                <w:w w:val="103"/>
                <w:sz w:val="19"/>
              </w:rPr>
              <w:t>(</w:t>
            </w:r>
            <w:r>
              <w:rPr>
                <w:w w:val="103"/>
                <w:sz w:val="19"/>
              </w:rPr>
              <w:t>2</w:t>
            </w:r>
            <w:r>
              <w:rPr>
                <w:spacing w:val="5"/>
                <w:sz w:val="19"/>
              </w:rPr>
              <w:t> </w:t>
            </w:r>
            <w:r>
              <w:rPr>
                <w:w w:val="120"/>
                <w:sz w:val="19"/>
              </w:rPr>
              <w:t>n</w:t>
            </w:r>
            <w:r>
              <w:rPr>
                <w:spacing w:val="-1"/>
                <w:w w:val="115"/>
                <w:sz w:val="19"/>
              </w:rPr>
              <w:t>g</w:t>
            </w:r>
            <w:r>
              <w:rPr>
                <w:spacing w:val="3"/>
                <w:w w:val="225"/>
                <w:sz w:val="19"/>
              </w:rPr>
              <w:t>/</w:t>
            </w:r>
            <w:r>
              <w:rPr>
                <w:spacing w:val="5"/>
                <w:w w:val="117"/>
                <w:sz w:val="19"/>
              </w:rPr>
              <w:t>m</w:t>
            </w:r>
            <w:r>
              <w:rPr>
                <w:spacing w:val="-1"/>
                <w:w w:val="108"/>
                <w:sz w:val="19"/>
              </w:rPr>
              <w:t>l</w:t>
            </w:r>
            <w:r>
              <w:rPr>
                <w:w w:val="103"/>
                <w:sz w:val="19"/>
              </w:rPr>
              <w:t>)</w:t>
            </w:r>
          </w:p>
        </w:tc>
        <w:tc>
          <w:tcPr>
            <w:tcW w:w="2410" w:type="dxa"/>
            <w:tcBorders>
              <w:top w:val="single" w:sz="4" w:space="0" w:color="000000"/>
              <w:left w:val="single" w:sz="5" w:space="0" w:color="000000"/>
              <w:bottom w:val="single" w:sz="5" w:space="0" w:color="000000"/>
              <w:right w:val="single" w:sz="5" w:space="0" w:color="000000"/>
            </w:tcBorders>
          </w:tcPr>
          <w:p>
            <w:pPr>
              <w:pStyle w:val="TableParagraph"/>
              <w:ind w:left="0"/>
              <w:rPr>
                <w:sz w:val="20"/>
              </w:rPr>
            </w:pPr>
          </w:p>
          <w:p>
            <w:pPr>
              <w:pStyle w:val="TableParagraph"/>
              <w:spacing w:before="10"/>
              <w:ind w:left="0"/>
              <w:rPr>
                <w:sz w:val="21"/>
              </w:rPr>
            </w:pPr>
          </w:p>
          <w:p>
            <w:pPr>
              <w:pStyle w:val="TableParagraph"/>
              <w:ind w:left="105" w:right="27"/>
              <w:rPr>
                <w:sz w:val="19"/>
              </w:rPr>
            </w:pPr>
            <w:r>
              <w:rPr>
                <w:w w:val="115"/>
                <w:sz w:val="19"/>
              </w:rPr>
              <w:t>Negative Findings</w:t>
            </w:r>
          </w:p>
        </w:tc>
      </w:tr>
      <w:tr>
        <w:trPr>
          <w:trHeight w:val="494" w:hRule="exact"/>
        </w:trPr>
        <w:tc>
          <w:tcPr>
            <w:tcW w:w="1291"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rPr>
                <w:sz w:val="19"/>
              </w:rPr>
            </w:pPr>
            <w:r>
              <w:rPr>
                <w:w w:val="105"/>
                <w:sz w:val="19"/>
              </w:rPr>
              <w:t>66</w:t>
            </w:r>
          </w:p>
        </w:tc>
        <w:tc>
          <w:tcPr>
            <w:tcW w:w="5386"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right="5"/>
              <w:rPr>
                <w:sz w:val="19"/>
              </w:rPr>
            </w:pPr>
            <w:r>
              <w:rPr>
                <w:w w:val="115"/>
                <w:sz w:val="19"/>
              </w:rPr>
              <w:t>EPO analysis ordered, nor finished, the rest is clean</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left="105" w:right="27"/>
              <w:rPr>
                <w:sz w:val="19"/>
              </w:rPr>
            </w:pPr>
            <w:r>
              <w:rPr>
                <w:w w:val="115"/>
                <w:sz w:val="19"/>
              </w:rPr>
              <w:t>Negative Findings</w:t>
            </w:r>
          </w:p>
        </w:tc>
      </w:tr>
      <w:tr>
        <w:trPr>
          <w:trHeight w:val="490" w:hRule="exact"/>
        </w:trPr>
        <w:tc>
          <w:tcPr>
            <w:tcW w:w="1291"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rPr>
                <w:sz w:val="19"/>
              </w:rPr>
            </w:pPr>
            <w:r>
              <w:rPr>
                <w:w w:val="105"/>
                <w:sz w:val="19"/>
              </w:rPr>
              <w:t>67</w:t>
            </w:r>
          </w:p>
        </w:tc>
        <w:tc>
          <w:tcPr>
            <w:tcW w:w="5386"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right="5"/>
              <w:rPr>
                <w:sz w:val="19"/>
              </w:rPr>
            </w:pPr>
            <w:r>
              <w:rPr>
                <w:w w:val="115"/>
                <w:sz w:val="19"/>
              </w:rPr>
              <w:t>EPO analysis ordered, nor finished, the rest is clean</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left="105" w:right="27"/>
              <w:rPr>
                <w:sz w:val="19"/>
              </w:rPr>
            </w:pPr>
            <w:r>
              <w:rPr>
                <w:w w:val="115"/>
                <w:sz w:val="19"/>
              </w:rPr>
              <w:t>Negative Findings</w:t>
            </w:r>
          </w:p>
        </w:tc>
      </w:tr>
      <w:tr>
        <w:trPr>
          <w:trHeight w:val="494" w:hRule="exact"/>
        </w:trPr>
        <w:tc>
          <w:tcPr>
            <w:tcW w:w="1291"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rPr>
                <w:sz w:val="19"/>
              </w:rPr>
            </w:pPr>
            <w:r>
              <w:rPr>
                <w:w w:val="105"/>
                <w:sz w:val="19"/>
              </w:rPr>
              <w:t>68</w:t>
            </w:r>
          </w:p>
        </w:tc>
        <w:tc>
          <w:tcPr>
            <w:tcW w:w="5386"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right="5"/>
              <w:rPr>
                <w:sz w:val="19"/>
              </w:rPr>
            </w:pPr>
            <w:r>
              <w:rPr>
                <w:w w:val="115"/>
                <w:sz w:val="19"/>
              </w:rPr>
              <w:t>EPO analysis ordered, nor finished, the rest is clean</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14" w:lineRule="exact"/>
              <w:ind w:left="105" w:right="27"/>
              <w:rPr>
                <w:sz w:val="19"/>
              </w:rPr>
            </w:pPr>
            <w:r>
              <w:rPr>
                <w:w w:val="115"/>
                <w:sz w:val="19"/>
              </w:rPr>
              <w:t>Negative Findings</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6"/>
        <w:ind w:left="139"/>
        <w:jc w:val="both"/>
      </w:pPr>
      <w:r>
        <w:rPr>
          <w:w w:val="115"/>
        </w:rPr>
        <w:t>6.2.1 The IOC Re-Testing of Results of the London 2012 Olympic Games</w:t>
      </w:r>
    </w:p>
    <w:p>
      <w:pPr>
        <w:pStyle w:val="BodyText"/>
      </w:pPr>
    </w:p>
    <w:p>
      <w:pPr>
        <w:pStyle w:val="BodyText"/>
      </w:pPr>
    </w:p>
    <w:p>
      <w:pPr>
        <w:pStyle w:val="BodyText"/>
        <w:spacing w:line="504" w:lineRule="auto" w:before="185"/>
        <w:ind w:left="139" w:right="567"/>
        <w:jc w:val="both"/>
      </w:pPr>
      <w:r>
        <w:rPr>
          <w:w w:val="110"/>
        </w:rPr>
        <w:t>In June 2016, the IOC ordered retests of samples obtained during the London Games. From those retests, 8 Russian athlete A samples were positive for Oral Turinabol,</w:t>
      </w:r>
      <w:r>
        <w:rPr>
          <w:spacing w:val="-6"/>
          <w:w w:val="110"/>
        </w:rPr>
        <w:t> </w:t>
      </w:r>
      <w:r>
        <w:rPr>
          <w:w w:val="110"/>
        </w:rPr>
        <w:t>with</w:t>
      </w:r>
      <w:r>
        <w:rPr>
          <w:spacing w:val="-6"/>
          <w:w w:val="110"/>
        </w:rPr>
        <w:t> </w:t>
      </w:r>
      <w:r>
        <w:rPr>
          <w:w w:val="110"/>
        </w:rPr>
        <w:t>one</w:t>
      </w:r>
      <w:r>
        <w:rPr>
          <w:spacing w:val="-6"/>
          <w:w w:val="110"/>
        </w:rPr>
        <w:t> </w:t>
      </w:r>
      <w:r>
        <w:rPr>
          <w:w w:val="110"/>
        </w:rPr>
        <w:t>also</w:t>
      </w:r>
      <w:r>
        <w:rPr>
          <w:spacing w:val="-6"/>
          <w:w w:val="110"/>
        </w:rPr>
        <w:t> </w:t>
      </w:r>
      <w:r>
        <w:rPr>
          <w:w w:val="110"/>
        </w:rPr>
        <w:t>positive</w:t>
      </w:r>
      <w:r>
        <w:rPr>
          <w:spacing w:val="-6"/>
          <w:w w:val="110"/>
        </w:rPr>
        <w:t> </w:t>
      </w:r>
      <w:r>
        <w:rPr>
          <w:w w:val="110"/>
        </w:rPr>
        <w:t>for</w:t>
      </w:r>
      <w:r>
        <w:rPr>
          <w:spacing w:val="-6"/>
          <w:w w:val="110"/>
        </w:rPr>
        <w:t> </w:t>
      </w:r>
      <w:r>
        <w:rPr>
          <w:w w:val="110"/>
        </w:rPr>
        <w:t>Drostanelone</w:t>
      </w:r>
      <w:r>
        <w:rPr>
          <w:spacing w:val="-8"/>
          <w:w w:val="110"/>
        </w:rPr>
        <w:t> </w:t>
      </w:r>
      <w:r>
        <w:rPr>
          <w:w w:val="110"/>
        </w:rPr>
        <w:t>and</w:t>
      </w:r>
      <w:r>
        <w:rPr>
          <w:spacing w:val="-6"/>
          <w:w w:val="110"/>
        </w:rPr>
        <w:t> </w:t>
      </w:r>
      <w:r>
        <w:rPr>
          <w:w w:val="110"/>
        </w:rPr>
        <w:t>another</w:t>
      </w:r>
      <w:r>
        <w:rPr>
          <w:spacing w:val="-4"/>
          <w:w w:val="110"/>
        </w:rPr>
        <w:t> </w:t>
      </w:r>
      <w:r>
        <w:rPr>
          <w:w w:val="110"/>
        </w:rPr>
        <w:t>for</w:t>
      </w:r>
      <w:r>
        <w:rPr>
          <w:spacing w:val="-6"/>
          <w:w w:val="110"/>
        </w:rPr>
        <w:t> </w:t>
      </w:r>
      <w:r>
        <w:rPr>
          <w:w w:val="110"/>
        </w:rPr>
        <w:t>GW1516.</w:t>
      </w:r>
      <w:r>
        <w:rPr>
          <w:spacing w:val="-6"/>
          <w:w w:val="110"/>
        </w:rPr>
        <w:t> </w:t>
      </w:r>
      <w:r>
        <w:rPr>
          <w:w w:val="110"/>
        </w:rPr>
        <w:t>This supports Dr. Rodchenkov's evidence that Russian athletes were using his "cocktail" before the London Games. Additionally, the names of two of the athletes who tested positive as a result of the IOC retest are also shown on the London pre-testing schedule discussed above as positive for the same substances discovered in the retest. This corroborates both Dr. Rodchenkov's account of the scheme and the accuracy of the original</w:t>
      </w:r>
      <w:r>
        <w:rPr>
          <w:spacing w:val="-24"/>
          <w:w w:val="110"/>
        </w:rPr>
        <w:t> </w:t>
      </w:r>
      <w:r>
        <w:rPr>
          <w:w w:val="110"/>
        </w:rPr>
        <w:t>schedule.</w:t>
      </w:r>
    </w:p>
    <w:p>
      <w:pPr>
        <w:spacing w:after="0" w:line="504" w:lineRule="auto"/>
        <w:jc w:val="both"/>
        <w:sectPr>
          <w:pgSz w:w="12240" w:h="15840"/>
          <w:pgMar w:header="0" w:footer="707" w:top="1460" w:bottom="900" w:left="1680" w:right="1220"/>
        </w:sectPr>
      </w:pPr>
    </w:p>
    <w:p>
      <w:pPr>
        <w:pStyle w:val="BodyText"/>
        <w:rPr>
          <w:sz w:val="20"/>
        </w:rPr>
      </w:pPr>
    </w:p>
    <w:p>
      <w:pPr>
        <w:pStyle w:val="BodyText"/>
        <w:spacing w:before="6"/>
        <w:rPr>
          <w:sz w:val="23"/>
        </w:rPr>
      </w:pPr>
    </w:p>
    <w:p>
      <w:pPr>
        <w:pStyle w:val="BodyText"/>
        <w:spacing w:line="501" w:lineRule="auto" w:before="36"/>
        <w:ind w:left="119" w:right="107"/>
        <w:jc w:val="both"/>
      </w:pPr>
      <w:r>
        <w:rPr>
          <w:w w:val="110"/>
        </w:rPr>
        <w:t>The IP checked the names of the 46 athletes against London Games' medal winners. Eleven of these athletes won medals at the Games. A number of these medal winners have subsequently been banned for PED abuse and their medals stripped.</w:t>
      </w:r>
    </w:p>
    <w:p>
      <w:pPr>
        <w:pStyle w:val="BodyText"/>
      </w:pPr>
    </w:p>
    <w:p>
      <w:pPr>
        <w:pStyle w:val="BodyText"/>
      </w:pPr>
    </w:p>
    <w:p>
      <w:pPr>
        <w:pStyle w:val="BodyText"/>
        <w:spacing w:before="6"/>
        <w:rPr>
          <w:sz w:val="20"/>
        </w:rPr>
      </w:pPr>
    </w:p>
    <w:p>
      <w:pPr>
        <w:pStyle w:val="ListParagraph"/>
        <w:numPr>
          <w:ilvl w:val="1"/>
          <w:numId w:val="26"/>
        </w:numPr>
        <w:tabs>
          <w:tab w:pos="478" w:val="left" w:leader="none"/>
        </w:tabs>
        <w:spacing w:line="240" w:lineRule="auto" w:before="0" w:after="0"/>
        <w:ind w:left="477" w:right="0" w:hanging="358"/>
        <w:jc w:val="both"/>
        <w:rPr>
          <w:sz w:val="24"/>
        </w:rPr>
      </w:pPr>
      <w:r>
        <w:rPr>
          <w:w w:val="115"/>
          <w:sz w:val="24"/>
        </w:rPr>
        <w:t>World</w:t>
      </w:r>
      <w:r>
        <w:rPr>
          <w:spacing w:val="-45"/>
          <w:w w:val="115"/>
          <w:sz w:val="24"/>
        </w:rPr>
        <w:t> </w:t>
      </w:r>
      <w:r>
        <w:rPr>
          <w:w w:val="115"/>
          <w:sz w:val="24"/>
        </w:rPr>
        <w:t>University</w:t>
      </w:r>
      <w:r>
        <w:rPr>
          <w:spacing w:val="-45"/>
          <w:w w:val="115"/>
          <w:sz w:val="24"/>
        </w:rPr>
        <w:t> </w:t>
      </w:r>
      <w:r>
        <w:rPr>
          <w:w w:val="115"/>
          <w:sz w:val="24"/>
        </w:rPr>
        <w:t>Games,</w:t>
      </w:r>
      <w:r>
        <w:rPr>
          <w:spacing w:val="-45"/>
          <w:w w:val="115"/>
          <w:sz w:val="24"/>
        </w:rPr>
        <w:t> </w:t>
      </w:r>
      <w:r>
        <w:rPr>
          <w:w w:val="115"/>
          <w:sz w:val="24"/>
        </w:rPr>
        <w:t>Kazan</w:t>
      </w:r>
      <w:r>
        <w:rPr>
          <w:spacing w:val="-45"/>
          <w:w w:val="115"/>
          <w:sz w:val="24"/>
        </w:rPr>
        <w:t> </w:t>
      </w:r>
      <w:r>
        <w:rPr>
          <w:w w:val="115"/>
          <w:sz w:val="24"/>
        </w:rPr>
        <w:t>2013</w:t>
      </w:r>
    </w:p>
    <w:p>
      <w:pPr>
        <w:pStyle w:val="BodyText"/>
      </w:pPr>
    </w:p>
    <w:p>
      <w:pPr>
        <w:pStyle w:val="BodyText"/>
        <w:spacing w:before="11"/>
        <w:rPr>
          <w:sz w:val="27"/>
        </w:rPr>
      </w:pPr>
    </w:p>
    <w:p>
      <w:pPr>
        <w:pStyle w:val="BodyText"/>
        <w:spacing w:line="504" w:lineRule="auto"/>
        <w:ind w:left="119" w:right="108"/>
        <w:jc w:val="both"/>
      </w:pPr>
      <w:r>
        <w:rPr>
          <w:w w:val="110"/>
        </w:rPr>
        <w:t>The</w:t>
      </w:r>
      <w:r>
        <w:rPr>
          <w:spacing w:val="-12"/>
          <w:w w:val="110"/>
        </w:rPr>
        <w:t> </w:t>
      </w:r>
      <w:r>
        <w:rPr>
          <w:w w:val="110"/>
        </w:rPr>
        <w:t>World</w:t>
      </w:r>
      <w:r>
        <w:rPr>
          <w:spacing w:val="-12"/>
          <w:w w:val="110"/>
        </w:rPr>
        <w:t> </w:t>
      </w:r>
      <w:r>
        <w:rPr>
          <w:w w:val="110"/>
        </w:rPr>
        <w:t>University</w:t>
      </w:r>
      <w:r>
        <w:rPr>
          <w:spacing w:val="-8"/>
          <w:w w:val="110"/>
        </w:rPr>
        <w:t> </w:t>
      </w:r>
      <w:r>
        <w:rPr>
          <w:w w:val="110"/>
        </w:rPr>
        <w:t>Games</w:t>
      </w:r>
      <w:r>
        <w:rPr>
          <w:spacing w:val="-10"/>
          <w:w w:val="110"/>
        </w:rPr>
        <w:t> </w:t>
      </w:r>
      <w:r>
        <w:rPr>
          <w:w w:val="110"/>
        </w:rPr>
        <w:t>was</w:t>
      </w:r>
      <w:r>
        <w:rPr>
          <w:spacing w:val="-15"/>
          <w:w w:val="110"/>
        </w:rPr>
        <w:t> </w:t>
      </w:r>
      <w:r>
        <w:rPr>
          <w:w w:val="110"/>
        </w:rPr>
        <w:t>held</w:t>
      </w:r>
      <w:r>
        <w:rPr>
          <w:spacing w:val="-11"/>
          <w:w w:val="110"/>
        </w:rPr>
        <w:t> </w:t>
      </w:r>
      <w:r>
        <w:rPr>
          <w:w w:val="110"/>
        </w:rPr>
        <w:t>in</w:t>
      </w:r>
      <w:r>
        <w:rPr>
          <w:spacing w:val="-11"/>
          <w:w w:val="110"/>
        </w:rPr>
        <w:t> </w:t>
      </w:r>
      <w:r>
        <w:rPr>
          <w:w w:val="110"/>
        </w:rPr>
        <w:t>Kazan,</w:t>
      </w:r>
      <w:r>
        <w:rPr>
          <w:spacing w:val="-11"/>
          <w:w w:val="110"/>
        </w:rPr>
        <w:t> </w:t>
      </w:r>
      <w:r>
        <w:rPr>
          <w:w w:val="110"/>
        </w:rPr>
        <w:t>Russia</w:t>
      </w:r>
      <w:r>
        <w:rPr>
          <w:spacing w:val="-11"/>
          <w:w w:val="110"/>
        </w:rPr>
        <w:t> </w:t>
      </w:r>
      <w:r>
        <w:rPr>
          <w:w w:val="110"/>
        </w:rPr>
        <w:t>from</w:t>
      </w:r>
      <w:r>
        <w:rPr>
          <w:spacing w:val="-11"/>
          <w:w w:val="110"/>
        </w:rPr>
        <w:t> </w:t>
      </w:r>
      <w:r>
        <w:rPr>
          <w:w w:val="110"/>
        </w:rPr>
        <w:t>7-16</w:t>
      </w:r>
      <w:r>
        <w:rPr>
          <w:spacing w:val="-11"/>
          <w:w w:val="110"/>
        </w:rPr>
        <w:t> </w:t>
      </w:r>
      <w:r>
        <w:rPr>
          <w:w w:val="110"/>
        </w:rPr>
        <w:t>July</w:t>
      </w:r>
      <w:r>
        <w:rPr>
          <w:spacing w:val="-12"/>
          <w:w w:val="110"/>
        </w:rPr>
        <w:t> </w:t>
      </w:r>
      <w:r>
        <w:rPr>
          <w:w w:val="110"/>
        </w:rPr>
        <w:t>2013.</w:t>
      </w:r>
      <w:r>
        <w:rPr>
          <w:spacing w:val="-12"/>
          <w:w w:val="110"/>
        </w:rPr>
        <w:t> </w:t>
      </w:r>
      <w:r>
        <w:rPr>
          <w:w w:val="110"/>
        </w:rPr>
        <w:t>The Russian Federation did extremely well, winning 292 medals overall. A variation of the Disappearing Positive Methodology was used prior to the University Games. The IP has recovered Excel spreadsheets with lists of positive results from sample tests and which athletes should be saved or</w:t>
      </w:r>
      <w:r>
        <w:rPr>
          <w:spacing w:val="65"/>
          <w:w w:val="110"/>
        </w:rPr>
        <w:t> </w:t>
      </w:r>
      <w:r>
        <w:rPr>
          <w:w w:val="110"/>
        </w:rPr>
        <w:t>quarantined.</w:t>
      </w:r>
    </w:p>
    <w:p>
      <w:pPr>
        <w:pStyle w:val="BodyText"/>
      </w:pPr>
    </w:p>
    <w:p>
      <w:pPr>
        <w:pStyle w:val="BodyText"/>
        <w:spacing w:before="2"/>
        <w:rPr>
          <w:sz w:val="27"/>
        </w:rPr>
      </w:pPr>
    </w:p>
    <w:p>
      <w:pPr>
        <w:pStyle w:val="BodyText"/>
        <w:spacing w:line="504" w:lineRule="auto"/>
        <w:ind w:left="119" w:right="106"/>
        <w:jc w:val="both"/>
      </w:pPr>
      <w:r>
        <w:rPr>
          <w:w w:val="110"/>
        </w:rPr>
        <w:t>A metadata examination of the University Games spreadsheet confirms its authenticity. The spreadsheet identifies 32 athletes along with the substances discovered in their samples. Of these, 17 are Russian competitors. In each of these cases, the instruction from the MofS to the Laboratory is to SAVE. In two cases the instruction is to "allow" but also to "warn the Federation." The remaining cases involve 15 foreign athletes; and for each of these, the instruction is to QUARANTINE. Dr. Rodchenkov's evidence is that some sample swapping also occurred in connection with the University Games. No further   </w:t>
      </w:r>
      <w:r>
        <w:rPr>
          <w:spacing w:val="24"/>
          <w:w w:val="110"/>
        </w:rPr>
        <w:t> </w:t>
      </w:r>
      <w:r>
        <w:rPr>
          <w:w w:val="110"/>
        </w:rPr>
        <w:t>information</w:t>
      </w:r>
    </w:p>
    <w:p>
      <w:pPr>
        <w:spacing w:after="0" w:line="504" w:lineRule="auto"/>
        <w:jc w:val="both"/>
        <w:sectPr>
          <w:pgSz w:w="12240" w:h="15840"/>
          <w:pgMar w:header="0" w:footer="707" w:top="1500" w:bottom="900" w:left="1700" w:right="1680"/>
        </w:sectPr>
      </w:pPr>
    </w:p>
    <w:p>
      <w:pPr>
        <w:pStyle w:val="BodyText"/>
        <w:spacing w:line="504" w:lineRule="auto" w:before="16"/>
        <w:ind w:left="119" w:right="109"/>
        <w:jc w:val="both"/>
      </w:pPr>
      <w:r>
        <w:rPr>
          <w:w w:val="110"/>
        </w:rPr>
        <w:t>was available to the IP in relation to the University Games. However, further investigation may identify additional examples.</w:t>
      </w:r>
    </w:p>
    <w:p>
      <w:pPr>
        <w:pStyle w:val="BodyText"/>
      </w:pPr>
    </w:p>
    <w:p>
      <w:pPr>
        <w:pStyle w:val="BodyText"/>
      </w:pPr>
    </w:p>
    <w:p>
      <w:pPr>
        <w:pStyle w:val="BodyText"/>
        <w:spacing w:before="3"/>
        <w:rPr>
          <w:sz w:val="20"/>
        </w:rPr>
      </w:pPr>
    </w:p>
    <w:p>
      <w:pPr>
        <w:pStyle w:val="ListParagraph"/>
        <w:numPr>
          <w:ilvl w:val="1"/>
          <w:numId w:val="26"/>
        </w:numPr>
        <w:tabs>
          <w:tab w:pos="479" w:val="left" w:leader="none"/>
        </w:tabs>
        <w:spacing w:line="240" w:lineRule="auto" w:before="0" w:after="0"/>
        <w:ind w:left="478" w:right="0" w:hanging="359"/>
        <w:jc w:val="both"/>
        <w:rPr>
          <w:sz w:val="24"/>
        </w:rPr>
      </w:pPr>
      <w:r>
        <w:rPr>
          <w:w w:val="115"/>
          <w:sz w:val="24"/>
        </w:rPr>
        <w:t>2013</w:t>
      </w:r>
      <w:r>
        <w:rPr>
          <w:spacing w:val="-42"/>
          <w:w w:val="115"/>
          <w:sz w:val="24"/>
        </w:rPr>
        <w:t> </w:t>
      </w:r>
      <w:r>
        <w:rPr>
          <w:w w:val="115"/>
          <w:sz w:val="24"/>
        </w:rPr>
        <w:t>Moscow</w:t>
      </w:r>
      <w:r>
        <w:rPr>
          <w:spacing w:val="-42"/>
          <w:w w:val="115"/>
          <w:sz w:val="24"/>
        </w:rPr>
        <w:t> </w:t>
      </w:r>
      <w:r>
        <w:rPr>
          <w:w w:val="115"/>
          <w:sz w:val="24"/>
        </w:rPr>
        <w:t>IAAF</w:t>
      </w:r>
      <w:r>
        <w:rPr>
          <w:spacing w:val="-42"/>
          <w:w w:val="115"/>
          <w:sz w:val="24"/>
        </w:rPr>
        <w:t> </w:t>
      </w:r>
      <w:r>
        <w:rPr>
          <w:w w:val="115"/>
          <w:sz w:val="24"/>
        </w:rPr>
        <w:t>World</w:t>
      </w:r>
      <w:r>
        <w:rPr>
          <w:spacing w:val="-42"/>
          <w:w w:val="115"/>
          <w:sz w:val="24"/>
        </w:rPr>
        <w:t> </w:t>
      </w:r>
      <w:r>
        <w:rPr>
          <w:w w:val="115"/>
          <w:sz w:val="24"/>
        </w:rPr>
        <w:t>Championships</w:t>
      </w:r>
      <w:r>
        <w:rPr>
          <w:spacing w:val="-41"/>
          <w:w w:val="115"/>
          <w:sz w:val="24"/>
        </w:rPr>
        <w:t> </w:t>
      </w:r>
      <w:r>
        <w:rPr>
          <w:w w:val="115"/>
          <w:sz w:val="24"/>
        </w:rPr>
        <w:t>("Moscow</w:t>
      </w:r>
      <w:r>
        <w:rPr>
          <w:spacing w:val="-42"/>
          <w:w w:val="115"/>
          <w:sz w:val="24"/>
        </w:rPr>
        <w:t> </w:t>
      </w:r>
      <w:r>
        <w:rPr>
          <w:w w:val="115"/>
          <w:sz w:val="24"/>
        </w:rPr>
        <w:t>Championships")</w:t>
      </w:r>
    </w:p>
    <w:p>
      <w:pPr>
        <w:pStyle w:val="BodyText"/>
      </w:pPr>
    </w:p>
    <w:p>
      <w:pPr>
        <w:pStyle w:val="BodyText"/>
        <w:spacing w:before="6"/>
        <w:rPr>
          <w:sz w:val="27"/>
        </w:rPr>
      </w:pPr>
    </w:p>
    <w:p>
      <w:pPr>
        <w:pStyle w:val="BodyText"/>
        <w:spacing w:line="504" w:lineRule="auto"/>
        <w:ind w:left="119" w:right="107"/>
        <w:jc w:val="both"/>
      </w:pPr>
      <w:r>
        <w:rPr>
          <w:w w:val="110"/>
        </w:rPr>
        <w:t>The IC reported extensively on the issues surrounding the Moscow Championships. As a result of the IP investigation, new documentary evidence and witness testimony was assessed and enabled the IP to conduct a more in depth review of the</w:t>
      </w:r>
      <w:r>
        <w:rPr>
          <w:spacing w:val="1"/>
          <w:w w:val="110"/>
        </w:rPr>
        <w:t> </w:t>
      </w:r>
      <w:r>
        <w:rPr>
          <w:w w:val="110"/>
        </w:rPr>
        <w:t>evidence.</w:t>
      </w:r>
    </w:p>
    <w:p>
      <w:pPr>
        <w:pStyle w:val="BodyText"/>
      </w:pPr>
    </w:p>
    <w:p>
      <w:pPr>
        <w:pStyle w:val="BodyText"/>
        <w:spacing w:before="2"/>
        <w:rPr>
          <w:sz w:val="27"/>
        </w:rPr>
      </w:pPr>
    </w:p>
    <w:p>
      <w:pPr>
        <w:pStyle w:val="BodyText"/>
        <w:spacing w:line="504" w:lineRule="auto"/>
        <w:ind w:left="119" w:right="109"/>
        <w:jc w:val="both"/>
      </w:pPr>
      <w:r>
        <w:rPr>
          <w:w w:val="110"/>
        </w:rPr>
        <w:t>According to Dr. Rodchenkov, the lessons learned from the pre-competition testing prior to the London Games resulted in using the classical doping scheme described above, given that there existed a high risk that pre-competition</w:t>
      </w:r>
      <w:r>
        <w:rPr>
          <w:spacing w:val="66"/>
          <w:w w:val="110"/>
        </w:rPr>
        <w:t> </w:t>
      </w:r>
      <w:r>
        <w:rPr>
          <w:w w:val="110"/>
        </w:rPr>
        <w:t>samples would be reanalyzed by a third party such as</w:t>
      </w:r>
      <w:r>
        <w:rPr>
          <w:spacing w:val="22"/>
          <w:w w:val="110"/>
        </w:rPr>
        <w:t> </w:t>
      </w:r>
      <w:r>
        <w:rPr>
          <w:w w:val="110"/>
        </w:rPr>
        <w:t>WADA.</w:t>
      </w:r>
    </w:p>
    <w:p>
      <w:pPr>
        <w:pStyle w:val="BodyText"/>
      </w:pPr>
    </w:p>
    <w:p>
      <w:pPr>
        <w:pStyle w:val="BodyText"/>
        <w:spacing w:before="2"/>
        <w:rPr>
          <w:sz w:val="27"/>
        </w:rPr>
      </w:pPr>
    </w:p>
    <w:p>
      <w:pPr>
        <w:pStyle w:val="BodyText"/>
        <w:spacing w:line="501" w:lineRule="auto"/>
        <w:ind w:left="119" w:right="105"/>
        <w:jc w:val="both"/>
      </w:pPr>
      <w:r>
        <w:rPr>
          <w:w w:val="110"/>
        </w:rPr>
        <w:t>In advance of the World Championships, Russian athletes provided  their urine</w:t>
      </w:r>
      <w:r>
        <w:rPr>
          <w:spacing w:val="66"/>
          <w:w w:val="110"/>
        </w:rPr>
        <w:t> </w:t>
      </w:r>
      <w:r>
        <w:rPr>
          <w:w w:val="110"/>
        </w:rPr>
        <w:t>to the laboratory for analysis in unofficial bottles or containers. This way an assessment could be made of an athlete's viability to compete without reporting any samples in</w:t>
      </w:r>
      <w:r>
        <w:rPr>
          <w:spacing w:val="-47"/>
          <w:w w:val="110"/>
        </w:rPr>
        <w:t> </w:t>
      </w:r>
      <w:r>
        <w:rPr>
          <w:w w:val="110"/>
        </w:rPr>
        <w:t>ADAMS.</w:t>
      </w:r>
    </w:p>
    <w:p>
      <w:pPr>
        <w:pStyle w:val="BodyText"/>
      </w:pPr>
    </w:p>
    <w:p>
      <w:pPr>
        <w:pStyle w:val="BodyText"/>
        <w:spacing w:before="9"/>
        <w:rPr>
          <w:sz w:val="27"/>
        </w:rPr>
      </w:pPr>
    </w:p>
    <w:p>
      <w:pPr>
        <w:pStyle w:val="BodyText"/>
        <w:spacing w:line="504" w:lineRule="auto"/>
        <w:ind w:left="119" w:right="107"/>
        <w:jc w:val="both"/>
      </w:pPr>
      <w:r>
        <w:rPr>
          <w:w w:val="110"/>
        </w:rPr>
        <w:t>During the competition, protected athletes' sample numbers from their DCF would be texted or phoned through to the Moscow Laboratory. It was  clear to</w:t>
      </w:r>
      <w:r>
        <w:rPr>
          <w:spacing w:val="66"/>
          <w:w w:val="110"/>
        </w:rPr>
        <w:t> </w:t>
      </w:r>
      <w:r>
        <w:rPr>
          <w:w w:val="110"/>
        </w:rPr>
        <w:t>the laboratory personnel that  under no  circumstances  were  samples from</w:t>
      </w:r>
      <w:r>
        <w:rPr>
          <w:spacing w:val="63"/>
          <w:w w:val="110"/>
        </w:rPr>
        <w:t> </w:t>
      </w:r>
      <w:r>
        <w:rPr>
          <w:w w:val="110"/>
        </w:rPr>
        <w:t>these</w:t>
      </w:r>
    </w:p>
    <w:p>
      <w:pPr>
        <w:pStyle w:val="BodyText"/>
        <w:spacing w:before="7"/>
        <w:rPr>
          <w:sz w:val="19"/>
        </w:rPr>
      </w:pPr>
      <w:r>
        <w:rPr/>
        <w:drawing>
          <wp:anchor distT="0" distB="0" distL="0" distR="0" allowOverlap="1" layoutInCell="1" locked="0" behindDoc="0" simplePos="0" relativeHeight="1792">
            <wp:simplePos x="0" y="0"/>
            <wp:positionH relativeFrom="page">
              <wp:posOffset>6481571</wp:posOffset>
            </wp:positionH>
            <wp:positionV relativeFrom="paragraph">
              <wp:posOffset>168482</wp:posOffset>
            </wp:positionV>
            <wp:extent cx="153366" cy="104775"/>
            <wp:effectExtent l="0" t="0" r="0" b="0"/>
            <wp:wrapTopAndBottom/>
            <wp:docPr id="43" name="image101.png" descr=""/>
            <wp:cNvGraphicFramePr>
              <a:graphicFrameLocks noChangeAspect="1"/>
            </wp:cNvGraphicFramePr>
            <a:graphic>
              <a:graphicData uri="http://schemas.openxmlformats.org/drawingml/2006/picture">
                <pic:pic>
                  <pic:nvPicPr>
                    <pic:cNvPr id="44" name="image101.png"/>
                    <pic:cNvPicPr/>
                  </pic:nvPicPr>
                  <pic:blipFill>
                    <a:blip r:embed="rId136" cstate="print"/>
                    <a:stretch>
                      <a:fillRect/>
                    </a:stretch>
                  </pic:blipFill>
                  <pic:spPr>
                    <a:xfrm>
                      <a:off x="0" y="0"/>
                      <a:ext cx="153366" cy="104775"/>
                    </a:xfrm>
                    <a:prstGeom prst="rect">
                      <a:avLst/>
                    </a:prstGeom>
                  </pic:spPr>
                </pic:pic>
              </a:graphicData>
            </a:graphic>
          </wp:anchor>
        </w:drawing>
      </w:r>
    </w:p>
    <w:p>
      <w:pPr>
        <w:spacing w:after="0"/>
        <w:rPr>
          <w:sz w:val="19"/>
        </w:rPr>
        <w:sectPr>
          <w:footerReference w:type="default" r:id="rId135"/>
          <w:pgSz w:w="12240" w:h="15840"/>
          <w:pgMar w:footer="0" w:header="0" w:top="1440" w:bottom="280" w:left="1700" w:right="1680"/>
        </w:sectPr>
      </w:pPr>
    </w:p>
    <w:p>
      <w:pPr>
        <w:pStyle w:val="BodyText"/>
        <w:spacing w:line="504" w:lineRule="auto" w:before="16"/>
        <w:ind w:left="119" w:right="109"/>
        <w:jc w:val="both"/>
      </w:pPr>
      <w:r>
        <w:rPr>
          <w:w w:val="110"/>
        </w:rPr>
        <w:t>athletes to be reported as positive. A total of 8 protected athlete names were available to the IP for further investigation. Some of these athletes have now</w:t>
      </w:r>
      <w:r>
        <w:rPr>
          <w:spacing w:val="66"/>
          <w:w w:val="110"/>
        </w:rPr>
        <w:t> </w:t>
      </w:r>
      <w:r>
        <w:rPr>
          <w:w w:val="110"/>
        </w:rPr>
        <w:t>been banned for other doping activity and some athletes feature in the London 2012</w:t>
      </w:r>
      <w:r>
        <w:rPr>
          <w:spacing w:val="-7"/>
          <w:w w:val="110"/>
        </w:rPr>
        <w:t> </w:t>
      </w:r>
      <w:r>
        <w:rPr>
          <w:w w:val="110"/>
        </w:rPr>
        <w:t>pre-testing,</w:t>
      </w:r>
      <w:r>
        <w:rPr>
          <w:spacing w:val="-7"/>
          <w:w w:val="110"/>
        </w:rPr>
        <w:t> </w:t>
      </w:r>
      <w:r>
        <w:rPr>
          <w:w w:val="110"/>
        </w:rPr>
        <w:t>and</w:t>
      </w:r>
      <w:r>
        <w:rPr>
          <w:spacing w:val="-7"/>
          <w:w w:val="110"/>
        </w:rPr>
        <w:t> </w:t>
      </w:r>
      <w:r>
        <w:rPr>
          <w:w w:val="110"/>
        </w:rPr>
        <w:t>in</w:t>
      </w:r>
      <w:r>
        <w:rPr>
          <w:spacing w:val="-7"/>
          <w:w w:val="110"/>
        </w:rPr>
        <w:t> </w:t>
      </w:r>
      <w:r>
        <w:rPr>
          <w:w w:val="110"/>
        </w:rPr>
        <w:t>relation</w:t>
      </w:r>
      <w:r>
        <w:rPr>
          <w:spacing w:val="-7"/>
          <w:w w:val="110"/>
        </w:rPr>
        <w:t> </w:t>
      </w:r>
      <w:r>
        <w:rPr>
          <w:w w:val="110"/>
        </w:rPr>
        <w:t>to</w:t>
      </w:r>
      <w:r>
        <w:rPr>
          <w:spacing w:val="-7"/>
          <w:w w:val="110"/>
        </w:rPr>
        <w:t> </w:t>
      </w:r>
      <w:r>
        <w:rPr>
          <w:w w:val="110"/>
        </w:rPr>
        <w:t>the</w:t>
      </w:r>
      <w:r>
        <w:rPr>
          <w:spacing w:val="-7"/>
          <w:w w:val="110"/>
        </w:rPr>
        <w:t> </w:t>
      </w:r>
      <w:r>
        <w:rPr>
          <w:w w:val="110"/>
        </w:rPr>
        <w:t>Disappearing</w:t>
      </w:r>
      <w:r>
        <w:rPr>
          <w:spacing w:val="-9"/>
          <w:w w:val="110"/>
        </w:rPr>
        <w:t> </w:t>
      </w:r>
      <w:r>
        <w:rPr>
          <w:w w:val="110"/>
        </w:rPr>
        <w:t>Positive</w:t>
      </w:r>
      <w:r>
        <w:rPr>
          <w:spacing w:val="-2"/>
          <w:w w:val="110"/>
        </w:rPr>
        <w:t> </w:t>
      </w:r>
      <w:r>
        <w:rPr>
          <w:w w:val="110"/>
        </w:rPr>
        <w:t>Methodology.</w:t>
      </w:r>
    </w:p>
    <w:p>
      <w:pPr>
        <w:pStyle w:val="BodyText"/>
      </w:pPr>
    </w:p>
    <w:p>
      <w:pPr>
        <w:pStyle w:val="BodyText"/>
        <w:spacing w:before="2"/>
        <w:rPr>
          <w:sz w:val="27"/>
        </w:rPr>
      </w:pPr>
    </w:p>
    <w:p>
      <w:pPr>
        <w:pStyle w:val="BodyText"/>
        <w:spacing w:line="504" w:lineRule="auto"/>
        <w:ind w:left="119" w:right="106"/>
        <w:jc w:val="both"/>
      </w:pPr>
      <w:r>
        <w:rPr>
          <w:w w:val="110"/>
        </w:rPr>
        <w:t>Any other detected positives were referred up through the Liaison person for a decision on SAVE or QUARANTINE by the MofS. This has been referred to as the Disappearing Positive Methodology as discussed in Chapter 3. It should be noted that all foreigners with positive screens were quarantined.</w:t>
      </w:r>
      <w:r>
        <w:rPr>
          <w:spacing w:val="66"/>
          <w:w w:val="110"/>
        </w:rPr>
        <w:t> </w:t>
      </w:r>
      <w:r>
        <w:rPr>
          <w:w w:val="110"/>
        </w:rPr>
        <w:t>Finally, after  the completion of the Moscow Championships, the Laboratory held a number of positive samples that needed to be swapped by removing the cap and replacing the athlete's dirty urine before the samples were shipped to another laboratory as instructed by the</w:t>
      </w:r>
      <w:r>
        <w:rPr>
          <w:spacing w:val="-21"/>
          <w:w w:val="110"/>
        </w:rPr>
        <w:t> </w:t>
      </w:r>
      <w:r>
        <w:rPr>
          <w:w w:val="110"/>
        </w:rPr>
        <w:t>IAAF.</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4"/>
        </w:rPr>
      </w:pPr>
      <w:r>
        <w:rPr/>
        <w:pict>
          <v:group style="position:absolute;margin-left:510.359985pt;margin-top:10.490741pt;width:11.65pt;height:8.550pt;mso-position-horizontal-relative:page;mso-position-vertical-relative:paragraph;z-index:1816;mso-wrap-distance-left:0;mso-wrap-distance-right:0" coordorigin="10207,210" coordsize="233,171">
            <v:shape style="position:absolute;left:10207;top:215;width:106;height:166" type="#_x0000_t75" stroked="false">
              <v:imagedata r:id="rId138" o:title=""/>
            </v:shape>
            <v:shape style="position:absolute;left:10344;top:210;width:96;height:171" coordorigin="10344,210" coordsize="96,171" path="m10358,347l10344,347,10344,371,10355,375,10366,378,10376,380,10387,380,10397,380,10406,378,10416,373,10423,371,10380,371,10375,368,10370,363,10366,361,10361,354,10358,347xm10428,296l10399,296,10409,301,10411,306,10416,311,10418,318,10418,344,10416,354,10406,368,10399,371,10423,371,10430,363,10435,356,10438,349,10440,339,10440,320,10435,306,10430,299,10428,296xm10435,210l10426,210,10426,215,10423,215,10423,217,10351,217,10351,296,10361,301,10366,299,10370,299,10375,296,10428,296,10426,294,10418,289,10368,289,10368,236,10435,236,10435,210xm10404,284l10382,284,10378,287,10373,287,10368,289,10418,289,10404,284xe" filled="true" fillcolor="#000000" stroked="false">
              <v:path arrowok="t"/>
              <v:fill type="solid"/>
            </v:shape>
            <w10:wrap type="topAndBottom"/>
          </v:group>
        </w:pict>
      </w:r>
    </w:p>
    <w:p>
      <w:pPr>
        <w:spacing w:after="0"/>
        <w:rPr>
          <w:sz w:val="14"/>
        </w:rPr>
        <w:sectPr>
          <w:footerReference w:type="default" r:id="rId137"/>
          <w:pgSz w:w="12240" w:h="15840"/>
          <w:pgMar w:footer="0" w:header="0" w:top="1440" w:bottom="280" w:left="1700" w:right="1680"/>
        </w:sectPr>
      </w:pPr>
    </w:p>
    <w:p>
      <w:pPr>
        <w:pStyle w:val="Heading1"/>
        <w:spacing w:line="319" w:lineRule="exact"/>
        <w:jc w:val="left"/>
        <w:rPr>
          <w:rFonts w:ascii="Times New Roman"/>
        </w:rPr>
      </w:pPr>
      <w:bookmarkStart w:name="_TOC_250000" w:id="8"/>
      <w:bookmarkEnd w:id="8"/>
      <w:r>
        <w:rPr>
          <w:rFonts w:ascii="Times New Roman"/>
          <w:w w:val="115"/>
        </w:rPr>
        <w:t>Chapter 7: Summary of Findings</w:t>
      </w:r>
    </w:p>
    <w:p>
      <w:pPr>
        <w:pStyle w:val="BodyText"/>
        <w:rPr>
          <w:sz w:val="28"/>
        </w:rPr>
      </w:pPr>
    </w:p>
    <w:p>
      <w:pPr>
        <w:pStyle w:val="BodyText"/>
        <w:rPr>
          <w:sz w:val="28"/>
        </w:rPr>
      </w:pPr>
    </w:p>
    <w:p>
      <w:pPr>
        <w:spacing w:before="210"/>
        <w:ind w:left="119" w:right="0" w:firstLine="0"/>
        <w:jc w:val="left"/>
        <w:rPr>
          <w:rFonts w:ascii="Palatino Linotype"/>
          <w:i/>
          <w:sz w:val="24"/>
        </w:rPr>
      </w:pPr>
      <w:r>
        <w:rPr>
          <w:rFonts w:ascii="Palatino Linotype"/>
          <w:i/>
          <w:sz w:val="24"/>
        </w:rPr>
        <w:t>Key Findings</w:t>
      </w:r>
    </w:p>
    <w:p>
      <w:pPr>
        <w:pStyle w:val="BodyText"/>
        <w:rPr>
          <w:rFonts w:ascii="Palatino Linotype"/>
          <w:i/>
        </w:rPr>
      </w:pPr>
    </w:p>
    <w:p>
      <w:pPr>
        <w:pStyle w:val="BodyText"/>
        <w:rPr>
          <w:rFonts w:ascii="Palatino Linotype"/>
          <w:i/>
        </w:rPr>
      </w:pPr>
    </w:p>
    <w:p>
      <w:pPr>
        <w:pStyle w:val="ListParagraph"/>
        <w:numPr>
          <w:ilvl w:val="2"/>
          <w:numId w:val="26"/>
        </w:numPr>
        <w:tabs>
          <w:tab w:pos="841" w:val="left" w:leader="none"/>
        </w:tabs>
        <w:spacing w:line="504" w:lineRule="auto" w:before="213" w:after="0"/>
        <w:ind w:left="839" w:right="107" w:hanging="360"/>
        <w:jc w:val="both"/>
        <w:rPr>
          <w:sz w:val="24"/>
        </w:rPr>
      </w:pPr>
      <w:r>
        <w:rPr>
          <w:w w:val="110"/>
          <w:sz w:val="24"/>
        </w:rPr>
        <w:t>The Moscow Laboratory operated, for the protection of doped Russian athletes, within a State-dictated failsafe system, described in the report as the Disappearing Positive</w:t>
      </w:r>
      <w:r>
        <w:rPr>
          <w:spacing w:val="4"/>
          <w:w w:val="110"/>
          <w:sz w:val="24"/>
        </w:rPr>
        <w:t> </w:t>
      </w:r>
      <w:r>
        <w:rPr>
          <w:w w:val="110"/>
          <w:sz w:val="24"/>
        </w:rPr>
        <w:t>Methodology.</w:t>
      </w:r>
    </w:p>
    <w:p>
      <w:pPr>
        <w:pStyle w:val="BodyText"/>
      </w:pPr>
    </w:p>
    <w:p>
      <w:pPr>
        <w:pStyle w:val="BodyText"/>
        <w:spacing w:before="2"/>
        <w:rPr>
          <w:sz w:val="27"/>
        </w:rPr>
      </w:pPr>
    </w:p>
    <w:p>
      <w:pPr>
        <w:pStyle w:val="ListParagraph"/>
        <w:numPr>
          <w:ilvl w:val="2"/>
          <w:numId w:val="26"/>
        </w:numPr>
        <w:tabs>
          <w:tab w:pos="840" w:val="left" w:leader="none"/>
        </w:tabs>
        <w:spacing w:line="504" w:lineRule="auto" w:before="0" w:after="0"/>
        <w:ind w:left="839" w:right="110" w:hanging="360"/>
        <w:jc w:val="both"/>
        <w:rPr>
          <w:sz w:val="24"/>
        </w:rPr>
      </w:pPr>
      <w:r>
        <w:rPr>
          <w:w w:val="110"/>
          <w:sz w:val="24"/>
        </w:rPr>
        <w:t>The Sochi Laboratory operated  a unique sample swapping methodology</w:t>
      </w:r>
      <w:r>
        <w:rPr>
          <w:spacing w:val="66"/>
          <w:w w:val="110"/>
          <w:sz w:val="24"/>
        </w:rPr>
        <w:t> </w:t>
      </w:r>
      <w:r>
        <w:rPr>
          <w:w w:val="110"/>
          <w:sz w:val="24"/>
        </w:rPr>
        <w:t>to enable doped Russian athletes to compete at the</w:t>
      </w:r>
      <w:r>
        <w:rPr>
          <w:spacing w:val="10"/>
          <w:w w:val="110"/>
          <w:sz w:val="24"/>
        </w:rPr>
        <w:t> </w:t>
      </w:r>
      <w:r>
        <w:rPr>
          <w:w w:val="110"/>
          <w:sz w:val="24"/>
        </w:rPr>
        <w:t>Games.</w:t>
      </w:r>
    </w:p>
    <w:p>
      <w:pPr>
        <w:pStyle w:val="BodyText"/>
      </w:pPr>
    </w:p>
    <w:p>
      <w:pPr>
        <w:pStyle w:val="BodyText"/>
        <w:spacing w:before="2"/>
        <w:rPr>
          <w:sz w:val="27"/>
        </w:rPr>
      </w:pPr>
    </w:p>
    <w:p>
      <w:pPr>
        <w:pStyle w:val="ListParagraph"/>
        <w:numPr>
          <w:ilvl w:val="2"/>
          <w:numId w:val="26"/>
        </w:numPr>
        <w:tabs>
          <w:tab w:pos="841" w:val="left" w:leader="none"/>
        </w:tabs>
        <w:spacing w:line="504" w:lineRule="auto" w:before="0" w:after="0"/>
        <w:ind w:left="839" w:right="108" w:hanging="360"/>
        <w:jc w:val="both"/>
        <w:rPr>
          <w:sz w:val="24"/>
        </w:rPr>
      </w:pPr>
      <w:r>
        <w:rPr>
          <w:w w:val="110"/>
          <w:sz w:val="24"/>
        </w:rPr>
        <w:t>The Ministry of Sport directed, controlled and oversaw the manipulation</w:t>
      </w:r>
      <w:r>
        <w:rPr>
          <w:spacing w:val="66"/>
          <w:w w:val="110"/>
          <w:sz w:val="24"/>
        </w:rPr>
        <w:t> </w:t>
      </w:r>
      <w:r>
        <w:rPr>
          <w:w w:val="110"/>
          <w:sz w:val="24"/>
        </w:rPr>
        <w:t>of athlete's analytical results or sample swapping, with the active participation and assistance of the FSB, CSP, and both Moscow and Sochi Laboratories.</w:t>
      </w:r>
    </w:p>
    <w:p>
      <w:pPr>
        <w:pStyle w:val="BodyText"/>
      </w:pPr>
    </w:p>
    <w:p>
      <w:pPr>
        <w:pStyle w:val="BodyText"/>
        <w:spacing w:before="8"/>
      </w:pPr>
    </w:p>
    <w:p>
      <w:pPr>
        <w:spacing w:before="0"/>
        <w:ind w:left="119" w:right="0" w:firstLine="0"/>
        <w:jc w:val="left"/>
        <w:rPr>
          <w:rFonts w:ascii="Palatino Linotype"/>
          <w:i/>
          <w:sz w:val="24"/>
        </w:rPr>
      </w:pPr>
      <w:r>
        <w:rPr>
          <w:rFonts w:ascii="Palatino Linotype"/>
          <w:i/>
          <w:sz w:val="24"/>
        </w:rPr>
        <w:t>Findings with respect to Witnesses</w:t>
      </w:r>
    </w:p>
    <w:p>
      <w:pPr>
        <w:pStyle w:val="BodyText"/>
        <w:rPr>
          <w:rFonts w:ascii="Palatino Linotype"/>
          <w:i/>
        </w:rPr>
      </w:pPr>
    </w:p>
    <w:p>
      <w:pPr>
        <w:pStyle w:val="BodyText"/>
        <w:spacing w:before="6"/>
        <w:rPr>
          <w:rFonts w:ascii="Palatino Linotype"/>
          <w:i/>
          <w:sz w:val="18"/>
        </w:rPr>
      </w:pPr>
    </w:p>
    <w:p>
      <w:pPr>
        <w:pStyle w:val="BodyText"/>
        <w:spacing w:line="501" w:lineRule="auto"/>
        <w:ind w:left="839" w:right="108" w:hanging="360"/>
        <w:jc w:val="both"/>
      </w:pPr>
      <w:r>
        <w:rPr>
          <w:w w:val="110"/>
        </w:rPr>
        <w:t>1. Dr. Rodchenkov, in the context of the subject matter within the IP</w:t>
      </w:r>
      <w:r>
        <w:rPr>
          <w:spacing w:val="66"/>
          <w:w w:val="110"/>
        </w:rPr>
        <w:t> </w:t>
      </w:r>
      <w:r>
        <w:rPr>
          <w:w w:val="110"/>
        </w:rPr>
        <w:t>mandate, was a credible and truthful</w:t>
      </w:r>
      <w:r>
        <w:rPr>
          <w:spacing w:val="52"/>
          <w:w w:val="110"/>
        </w:rPr>
        <w:t> </w:t>
      </w:r>
      <w:r>
        <w:rPr>
          <w:w w:val="110"/>
        </w:rPr>
        <w:t>person.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r>
        <w:rPr/>
        <w:drawing>
          <wp:anchor distT="0" distB="0" distL="0" distR="0" allowOverlap="1" layoutInCell="1" locked="0" behindDoc="0" simplePos="0" relativeHeight="1840">
            <wp:simplePos x="0" y="0"/>
            <wp:positionH relativeFrom="page">
              <wp:posOffset>6481571</wp:posOffset>
            </wp:positionH>
            <wp:positionV relativeFrom="paragraph">
              <wp:posOffset>202781</wp:posOffset>
            </wp:positionV>
            <wp:extent cx="151847" cy="104775"/>
            <wp:effectExtent l="0" t="0" r="0" b="0"/>
            <wp:wrapTopAndBottom/>
            <wp:docPr id="45" name="image102.png" descr=""/>
            <wp:cNvGraphicFramePr>
              <a:graphicFrameLocks noChangeAspect="1"/>
            </wp:cNvGraphicFramePr>
            <a:graphic>
              <a:graphicData uri="http://schemas.openxmlformats.org/drawingml/2006/picture">
                <pic:pic>
                  <pic:nvPicPr>
                    <pic:cNvPr id="46" name="image102.png"/>
                    <pic:cNvPicPr/>
                  </pic:nvPicPr>
                  <pic:blipFill>
                    <a:blip r:embed="rId140" cstate="print"/>
                    <a:stretch>
                      <a:fillRect/>
                    </a:stretch>
                  </pic:blipFill>
                  <pic:spPr>
                    <a:xfrm>
                      <a:off x="0" y="0"/>
                      <a:ext cx="151847" cy="104775"/>
                    </a:xfrm>
                    <a:prstGeom prst="rect">
                      <a:avLst/>
                    </a:prstGeom>
                  </pic:spPr>
                </pic:pic>
              </a:graphicData>
            </a:graphic>
          </wp:anchor>
        </w:drawing>
      </w:r>
    </w:p>
    <w:p>
      <w:pPr>
        <w:spacing w:after="0"/>
        <w:sectPr>
          <w:footerReference w:type="default" r:id="rId139"/>
          <w:pgSz w:w="12240" w:h="15840"/>
          <w:pgMar w:footer="0" w:header="0" w:top="1460" w:bottom="280" w:left="1700" w:right="1680"/>
        </w:sectPr>
      </w:pPr>
    </w:p>
    <w:p>
      <w:pPr>
        <w:pStyle w:val="ListParagraph"/>
        <w:numPr>
          <w:ilvl w:val="0"/>
          <w:numId w:val="27"/>
        </w:numPr>
        <w:tabs>
          <w:tab w:pos="840" w:val="left" w:leader="none"/>
        </w:tabs>
        <w:spacing w:line="429" w:lineRule="auto" w:before="0" w:after="0"/>
        <w:ind w:left="839" w:right="108" w:hanging="360"/>
        <w:jc w:val="both"/>
        <w:rPr>
          <w:rFonts w:ascii="Palatino Linotype"/>
          <w:sz w:val="24"/>
        </w:rPr>
      </w:pPr>
      <w:r>
        <w:rPr>
          <w:rFonts w:ascii="Palatino Linotype"/>
          <w:sz w:val="24"/>
        </w:rPr>
        <w:t>All other witnesses interviewed by the IP investigative team were  credible. Their evidence was only accepted where it met the standard of beyond a reasonable</w:t>
      </w:r>
      <w:r>
        <w:rPr>
          <w:rFonts w:ascii="Palatino Linotype"/>
          <w:spacing w:val="-18"/>
          <w:sz w:val="24"/>
        </w:rPr>
        <w:t> </w:t>
      </w:r>
      <w:r>
        <w:rPr>
          <w:rFonts w:ascii="Palatino Linotype"/>
          <w:sz w:val="24"/>
        </w:rPr>
        <w:t>doubt.</w:t>
      </w:r>
    </w:p>
    <w:p>
      <w:pPr>
        <w:pStyle w:val="BodyText"/>
        <w:rPr>
          <w:rFonts w:ascii="Palatino Linotype"/>
        </w:rPr>
      </w:pPr>
    </w:p>
    <w:p>
      <w:pPr>
        <w:pStyle w:val="BodyText"/>
        <w:spacing w:before="10"/>
        <w:rPr>
          <w:rFonts w:ascii="Palatino Linotype"/>
          <w:sz w:val="18"/>
        </w:rPr>
      </w:pPr>
    </w:p>
    <w:p>
      <w:pPr>
        <w:pStyle w:val="ListParagraph"/>
        <w:numPr>
          <w:ilvl w:val="0"/>
          <w:numId w:val="27"/>
        </w:numPr>
        <w:tabs>
          <w:tab w:pos="841" w:val="left" w:leader="none"/>
        </w:tabs>
        <w:spacing w:line="429" w:lineRule="auto" w:before="0" w:after="0"/>
        <w:ind w:left="839" w:right="108" w:hanging="360"/>
        <w:jc w:val="both"/>
        <w:rPr>
          <w:rFonts w:ascii="Palatino Linotype"/>
          <w:sz w:val="24"/>
        </w:rPr>
      </w:pPr>
      <w:r>
        <w:rPr>
          <w:rFonts w:ascii="Palatino Linotype"/>
          <w:sz w:val="24"/>
        </w:rPr>
        <w:t>The Moscow Laboratory personnel did not have a choice in whether to be involved in the State directed</w:t>
      </w:r>
      <w:r>
        <w:rPr>
          <w:rFonts w:ascii="Palatino Linotype"/>
          <w:spacing w:val="-29"/>
          <w:sz w:val="24"/>
        </w:rPr>
        <w:t> </w:t>
      </w:r>
      <w:r>
        <w:rPr>
          <w:rFonts w:ascii="Palatino Linotype"/>
          <w:sz w:val="24"/>
        </w:rPr>
        <w:t>system.</w:t>
      </w:r>
    </w:p>
    <w:p>
      <w:pPr>
        <w:pStyle w:val="BodyText"/>
        <w:rPr>
          <w:rFonts w:ascii="Palatino Linotype"/>
        </w:rPr>
      </w:pPr>
    </w:p>
    <w:p>
      <w:pPr>
        <w:pStyle w:val="BodyText"/>
        <w:spacing w:before="10"/>
        <w:rPr>
          <w:rFonts w:ascii="Palatino Linotype"/>
          <w:sz w:val="18"/>
        </w:rPr>
      </w:pPr>
    </w:p>
    <w:p>
      <w:pPr>
        <w:spacing w:before="0"/>
        <w:ind w:left="119" w:right="0" w:firstLine="0"/>
        <w:jc w:val="left"/>
        <w:rPr>
          <w:rFonts w:ascii="Palatino Linotype"/>
          <w:i/>
          <w:sz w:val="24"/>
        </w:rPr>
      </w:pPr>
      <w:r>
        <w:rPr>
          <w:rFonts w:ascii="Palatino Linotype"/>
          <w:i/>
          <w:sz w:val="24"/>
        </w:rPr>
        <w:t>Findings with respect to Moscow Laboratory</w:t>
      </w:r>
    </w:p>
    <w:p>
      <w:pPr>
        <w:pStyle w:val="BodyText"/>
        <w:rPr>
          <w:rFonts w:ascii="Palatino Linotype"/>
          <w:i/>
        </w:rPr>
      </w:pPr>
    </w:p>
    <w:p>
      <w:pPr>
        <w:pStyle w:val="BodyText"/>
        <w:rPr>
          <w:rFonts w:ascii="Palatino Linotype"/>
          <w:i/>
        </w:rPr>
      </w:pPr>
    </w:p>
    <w:p>
      <w:pPr>
        <w:pStyle w:val="ListParagraph"/>
        <w:numPr>
          <w:ilvl w:val="0"/>
          <w:numId w:val="28"/>
        </w:numPr>
        <w:tabs>
          <w:tab w:pos="840" w:val="left" w:leader="none"/>
        </w:tabs>
        <w:spacing w:line="429" w:lineRule="auto" w:before="185" w:after="0"/>
        <w:ind w:left="839" w:right="108" w:hanging="360"/>
        <w:jc w:val="both"/>
        <w:rPr>
          <w:rFonts w:ascii="Palatino Linotype"/>
          <w:sz w:val="24"/>
        </w:rPr>
      </w:pPr>
      <w:r>
        <w:rPr>
          <w:rFonts w:ascii="Palatino Linotype"/>
          <w:sz w:val="24"/>
        </w:rPr>
        <w:t>The Moscow Laboratory operated under State directed oversight and control of its anti-doping operational</w:t>
      </w:r>
      <w:r>
        <w:rPr>
          <w:rFonts w:ascii="Palatino Linotype"/>
          <w:spacing w:val="-34"/>
          <w:sz w:val="24"/>
        </w:rPr>
        <w:t> </w:t>
      </w:r>
      <w:r>
        <w:rPr>
          <w:rFonts w:ascii="Palatino Linotype"/>
          <w:sz w:val="24"/>
        </w:rPr>
        <w:t>system.</w:t>
      </w:r>
    </w:p>
    <w:p>
      <w:pPr>
        <w:pStyle w:val="BodyText"/>
        <w:rPr>
          <w:rFonts w:ascii="Palatino Linotype"/>
        </w:rPr>
      </w:pPr>
    </w:p>
    <w:p>
      <w:pPr>
        <w:pStyle w:val="BodyText"/>
        <w:spacing w:before="9"/>
        <w:rPr>
          <w:rFonts w:ascii="Palatino Linotype"/>
          <w:sz w:val="18"/>
        </w:rPr>
      </w:pPr>
    </w:p>
    <w:p>
      <w:pPr>
        <w:pStyle w:val="ListParagraph"/>
        <w:numPr>
          <w:ilvl w:val="0"/>
          <w:numId w:val="28"/>
        </w:numPr>
        <w:tabs>
          <w:tab w:pos="840" w:val="left" w:leader="none"/>
        </w:tabs>
        <w:spacing w:line="429" w:lineRule="auto" w:before="0" w:after="0"/>
        <w:ind w:left="839" w:right="108" w:hanging="360"/>
        <w:jc w:val="both"/>
        <w:rPr>
          <w:rFonts w:ascii="Palatino Linotype"/>
          <w:sz w:val="24"/>
        </w:rPr>
      </w:pPr>
      <w:r>
        <w:rPr>
          <w:rFonts w:ascii="Palatino Linotype"/>
          <w:sz w:val="24"/>
        </w:rPr>
        <w:t>The Moscow Laboratory personnel were required to be part of the State directed system that enabled Russian athletes to compete while engaged  in the use of doping</w:t>
      </w:r>
      <w:r>
        <w:rPr>
          <w:rFonts w:ascii="Palatino Linotype"/>
          <w:spacing w:val="-18"/>
          <w:sz w:val="24"/>
        </w:rPr>
        <w:t> </w:t>
      </w:r>
      <w:r>
        <w:rPr>
          <w:rFonts w:ascii="Palatino Linotype"/>
          <w:sz w:val="24"/>
        </w:rPr>
        <w:t>substances.</w:t>
      </w:r>
    </w:p>
    <w:p>
      <w:pPr>
        <w:pStyle w:val="BodyText"/>
        <w:rPr>
          <w:rFonts w:ascii="Palatino Linotype"/>
        </w:rPr>
      </w:pPr>
    </w:p>
    <w:p>
      <w:pPr>
        <w:pStyle w:val="BodyText"/>
        <w:spacing w:before="11"/>
        <w:rPr>
          <w:rFonts w:ascii="Palatino Linotype"/>
          <w:sz w:val="18"/>
        </w:rPr>
      </w:pPr>
    </w:p>
    <w:p>
      <w:pPr>
        <w:pStyle w:val="ListParagraph"/>
        <w:numPr>
          <w:ilvl w:val="0"/>
          <w:numId w:val="28"/>
        </w:numPr>
        <w:tabs>
          <w:tab w:pos="841" w:val="left" w:leader="none"/>
        </w:tabs>
        <w:spacing w:line="427" w:lineRule="auto" w:before="0" w:after="0"/>
        <w:ind w:left="839" w:right="112" w:hanging="360"/>
        <w:jc w:val="both"/>
        <w:rPr>
          <w:rFonts w:ascii="Palatino Linotype"/>
          <w:sz w:val="24"/>
        </w:rPr>
      </w:pPr>
      <w:r>
        <w:rPr>
          <w:rFonts w:ascii="Palatino Linotype"/>
          <w:sz w:val="24"/>
        </w:rPr>
        <w:t>The Moscow Laboratory was the final failsafe protective shield in the State directed doping</w:t>
      </w:r>
      <w:r>
        <w:rPr>
          <w:rFonts w:ascii="Palatino Linotype"/>
          <w:spacing w:val="-16"/>
          <w:sz w:val="24"/>
        </w:rPr>
        <w:t> </w:t>
      </w:r>
      <w:r>
        <w:rPr>
          <w:rFonts w:ascii="Palatino Linotype"/>
          <w:sz w:val="24"/>
        </w:rPr>
        <w:t>regime.</w:t>
      </w:r>
    </w:p>
    <w:p>
      <w:pPr>
        <w:pStyle w:val="BodyText"/>
        <w:rPr>
          <w:rFonts w:ascii="Palatino Linotype"/>
        </w:rPr>
      </w:pPr>
    </w:p>
    <w:p>
      <w:pPr>
        <w:pStyle w:val="BodyText"/>
        <w:spacing w:before="5"/>
        <w:rPr>
          <w:rFonts w:ascii="Palatino Linotype"/>
          <w:sz w:val="19"/>
        </w:rPr>
      </w:pPr>
    </w:p>
    <w:p>
      <w:pPr>
        <w:pStyle w:val="ListParagraph"/>
        <w:numPr>
          <w:ilvl w:val="0"/>
          <w:numId w:val="28"/>
        </w:numPr>
        <w:tabs>
          <w:tab w:pos="841" w:val="left" w:leader="none"/>
        </w:tabs>
        <w:spacing w:line="427" w:lineRule="auto" w:before="0" w:after="0"/>
        <w:ind w:left="839" w:right="107" w:hanging="360"/>
        <w:jc w:val="both"/>
        <w:rPr>
          <w:rFonts w:ascii="Palatino Linotype"/>
          <w:sz w:val="24"/>
        </w:rPr>
      </w:pPr>
      <w:r>
        <w:rPr>
          <w:rFonts w:ascii="Palatino Linotype"/>
          <w:sz w:val="24"/>
        </w:rPr>
        <w:t>Sample bottles stored in the Moscow Laboratory from 10 September to 10 December</w:t>
      </w:r>
      <w:r>
        <w:rPr>
          <w:rFonts w:ascii="Palatino Linotype"/>
          <w:spacing w:val="-5"/>
          <w:sz w:val="24"/>
        </w:rPr>
        <w:t> </w:t>
      </w:r>
      <w:r>
        <w:rPr>
          <w:rFonts w:ascii="Palatino Linotype"/>
          <w:sz w:val="24"/>
        </w:rPr>
        <w:t>2014</w:t>
      </w:r>
      <w:r>
        <w:rPr>
          <w:rFonts w:ascii="Palatino Linotype"/>
          <w:spacing w:val="-5"/>
          <w:sz w:val="24"/>
        </w:rPr>
        <w:t> </w:t>
      </w:r>
      <w:r>
        <w:rPr>
          <w:rFonts w:ascii="Palatino Linotype"/>
          <w:sz w:val="24"/>
        </w:rPr>
        <w:t>were</w:t>
      </w:r>
      <w:r>
        <w:rPr>
          <w:rFonts w:ascii="Palatino Linotype"/>
          <w:spacing w:val="-5"/>
          <w:sz w:val="24"/>
        </w:rPr>
        <w:t> </w:t>
      </w:r>
      <w:r>
        <w:rPr>
          <w:rFonts w:ascii="Palatino Linotype"/>
          <w:sz w:val="24"/>
        </w:rPr>
        <w:t>tampered</w:t>
      </w:r>
      <w:r>
        <w:rPr>
          <w:rFonts w:ascii="Palatino Linotype"/>
          <w:spacing w:val="-5"/>
          <w:sz w:val="24"/>
        </w:rPr>
        <w:t> </w:t>
      </w:r>
      <w:r>
        <w:rPr>
          <w:rFonts w:ascii="Palatino Linotype"/>
          <w:sz w:val="24"/>
        </w:rPr>
        <w:t>with</w:t>
      </w:r>
      <w:r>
        <w:rPr>
          <w:rFonts w:ascii="Palatino Linotype"/>
          <w:spacing w:val="-5"/>
          <w:sz w:val="24"/>
        </w:rPr>
        <w:t> </w:t>
      </w:r>
      <w:r>
        <w:rPr>
          <w:rFonts w:ascii="Palatino Linotype"/>
          <w:sz w:val="24"/>
        </w:rPr>
        <w:t>by</w:t>
      </w:r>
      <w:r>
        <w:rPr>
          <w:rFonts w:ascii="Palatino Linotype"/>
          <w:spacing w:val="-5"/>
          <w:sz w:val="24"/>
        </w:rPr>
        <w:t> </w:t>
      </w:r>
      <w:r>
        <w:rPr>
          <w:rFonts w:ascii="Palatino Linotype"/>
          <w:sz w:val="24"/>
        </w:rPr>
        <w:t>having</w:t>
      </w:r>
      <w:r>
        <w:rPr>
          <w:rFonts w:ascii="Palatino Linotype"/>
          <w:spacing w:val="-6"/>
          <w:sz w:val="24"/>
        </w:rPr>
        <w:t> </w:t>
      </w:r>
      <w:r>
        <w:rPr>
          <w:rFonts w:ascii="Palatino Linotype"/>
          <w:sz w:val="24"/>
        </w:rPr>
        <w:t>their</w:t>
      </w:r>
      <w:r>
        <w:rPr>
          <w:rFonts w:ascii="Palatino Linotype"/>
          <w:spacing w:val="-5"/>
          <w:sz w:val="24"/>
        </w:rPr>
        <w:t> </w:t>
      </w:r>
      <w:r>
        <w:rPr>
          <w:rFonts w:ascii="Palatino Linotype"/>
          <w:sz w:val="24"/>
        </w:rPr>
        <w:t>urine</w:t>
      </w:r>
      <w:r>
        <w:rPr>
          <w:rFonts w:ascii="Palatino Linotype"/>
          <w:spacing w:val="-5"/>
          <w:sz w:val="24"/>
        </w:rPr>
        <w:t> </w:t>
      </w:r>
      <w:r>
        <w:rPr>
          <w:rFonts w:ascii="Palatino Linotype"/>
          <w:sz w:val="24"/>
        </w:rPr>
        <w:t>swapped.</w:t>
      </w: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7"/>
        <w:rPr>
          <w:rFonts w:ascii="Palatino Linotype"/>
          <w:sz w:val="17"/>
        </w:rPr>
      </w:pPr>
      <w:r>
        <w:rPr/>
        <w:pict>
          <v:group style="position:absolute;margin-left:510.359985pt;margin-top:13.815586pt;width:12pt;height:8.3pt;mso-position-horizontal-relative:page;mso-position-vertical-relative:paragraph;z-index:1864;mso-wrap-distance-left:0;mso-wrap-distance-right:0" coordorigin="10207,276" coordsize="240,166">
            <v:shape style="position:absolute;left:10207;top:276;width:106;height:166" type="#_x0000_t75" stroked="false">
              <v:imagedata r:id="rId138" o:title=""/>
            </v:shape>
            <v:shape style="position:absolute;left:10344;top:279;width:103;height:161" type="#_x0000_t75" stroked="false">
              <v:imagedata r:id="rId19" o:title=""/>
            </v:shape>
            <w10:wrap type="topAndBottom"/>
          </v:group>
        </w:pict>
      </w:r>
    </w:p>
    <w:p>
      <w:pPr>
        <w:spacing w:after="0"/>
        <w:rPr>
          <w:rFonts w:ascii="Palatino Linotype"/>
          <w:sz w:val="17"/>
        </w:rPr>
        <w:sectPr>
          <w:footerReference w:type="default" r:id="rId141"/>
          <w:pgSz w:w="12240" w:h="15840"/>
          <w:pgMar w:footer="0" w:header="0" w:top="1440" w:bottom="280" w:left="1700" w:right="1680"/>
        </w:sectPr>
      </w:pPr>
    </w:p>
    <w:p>
      <w:pPr>
        <w:pStyle w:val="ListParagraph"/>
        <w:numPr>
          <w:ilvl w:val="0"/>
          <w:numId w:val="28"/>
        </w:numPr>
        <w:tabs>
          <w:tab w:pos="841" w:val="left" w:leader="none"/>
        </w:tabs>
        <w:spacing w:line="429" w:lineRule="auto" w:before="0" w:after="0"/>
        <w:ind w:left="839" w:right="108" w:hanging="360"/>
        <w:jc w:val="both"/>
        <w:rPr>
          <w:rFonts w:ascii="Palatino Linotype"/>
          <w:sz w:val="24"/>
        </w:rPr>
      </w:pPr>
      <w:r>
        <w:rPr>
          <w:rFonts w:ascii="Palatino Linotype"/>
          <w:sz w:val="24"/>
        </w:rPr>
        <w:t>The Disappearing Positive Methodology was planned and operated over a period from at least late 2011 until August</w:t>
      </w:r>
      <w:r>
        <w:rPr>
          <w:rFonts w:ascii="Palatino Linotype"/>
          <w:spacing w:val="-33"/>
          <w:sz w:val="24"/>
        </w:rPr>
        <w:t> </w:t>
      </w:r>
      <w:r>
        <w:rPr>
          <w:rFonts w:ascii="Palatino Linotype"/>
          <w:sz w:val="24"/>
        </w:rPr>
        <w:t>2015.</w:t>
      </w:r>
    </w:p>
    <w:p>
      <w:pPr>
        <w:pStyle w:val="BodyText"/>
        <w:rPr>
          <w:rFonts w:ascii="Palatino Linotype"/>
        </w:rPr>
      </w:pPr>
    </w:p>
    <w:p>
      <w:pPr>
        <w:pStyle w:val="BodyText"/>
        <w:spacing w:before="10"/>
        <w:rPr>
          <w:rFonts w:ascii="Palatino Linotype"/>
          <w:sz w:val="18"/>
        </w:rPr>
      </w:pPr>
    </w:p>
    <w:p>
      <w:pPr>
        <w:pStyle w:val="ListParagraph"/>
        <w:numPr>
          <w:ilvl w:val="0"/>
          <w:numId w:val="28"/>
        </w:numPr>
        <w:tabs>
          <w:tab w:pos="840" w:val="left" w:leader="none"/>
        </w:tabs>
        <w:spacing w:line="427" w:lineRule="auto" w:before="0" w:after="0"/>
        <w:ind w:left="839" w:right="105" w:hanging="360"/>
        <w:jc w:val="both"/>
        <w:rPr>
          <w:rFonts w:ascii="Palatino Linotype"/>
          <w:sz w:val="24"/>
        </w:rPr>
      </w:pPr>
      <w:r>
        <w:rPr>
          <w:rFonts w:ascii="Palatino Linotype"/>
          <w:sz w:val="24"/>
        </w:rPr>
        <w:t>Russian athletes from the vast majority of summer and winter Olympic sports</w:t>
      </w:r>
      <w:r>
        <w:rPr>
          <w:rFonts w:ascii="Palatino Linotype"/>
          <w:spacing w:val="-8"/>
          <w:sz w:val="24"/>
        </w:rPr>
        <w:t> </w:t>
      </w:r>
      <w:r>
        <w:rPr>
          <w:rFonts w:ascii="Palatino Linotype"/>
          <w:sz w:val="24"/>
        </w:rPr>
        <w:t>benefited</w:t>
      </w:r>
      <w:r>
        <w:rPr>
          <w:rFonts w:ascii="Palatino Linotype"/>
          <w:spacing w:val="-8"/>
          <w:sz w:val="24"/>
        </w:rPr>
        <w:t> </w:t>
      </w:r>
      <w:r>
        <w:rPr>
          <w:rFonts w:ascii="Palatino Linotype"/>
          <w:sz w:val="24"/>
        </w:rPr>
        <w:t>from</w:t>
      </w:r>
      <w:r>
        <w:rPr>
          <w:rFonts w:ascii="Palatino Linotype"/>
          <w:spacing w:val="-6"/>
          <w:sz w:val="24"/>
        </w:rPr>
        <w:t> </w:t>
      </w:r>
      <w:r>
        <w:rPr>
          <w:rFonts w:ascii="Palatino Linotype"/>
          <w:sz w:val="24"/>
        </w:rPr>
        <w:t>the</w:t>
      </w:r>
      <w:r>
        <w:rPr>
          <w:rFonts w:ascii="Palatino Linotype"/>
          <w:spacing w:val="-8"/>
          <w:sz w:val="24"/>
        </w:rPr>
        <w:t> </w:t>
      </w:r>
      <w:r>
        <w:rPr>
          <w:rFonts w:ascii="Palatino Linotype"/>
          <w:sz w:val="24"/>
        </w:rPr>
        <w:t>Disappearing</w:t>
      </w:r>
      <w:r>
        <w:rPr>
          <w:rFonts w:ascii="Palatino Linotype"/>
          <w:spacing w:val="-9"/>
          <w:sz w:val="24"/>
        </w:rPr>
        <w:t> </w:t>
      </w:r>
      <w:r>
        <w:rPr>
          <w:rFonts w:ascii="Palatino Linotype"/>
          <w:sz w:val="24"/>
        </w:rPr>
        <w:t>Positive</w:t>
      </w:r>
      <w:r>
        <w:rPr>
          <w:rFonts w:ascii="Palatino Linotype"/>
          <w:spacing w:val="-8"/>
          <w:sz w:val="24"/>
        </w:rPr>
        <w:t> </w:t>
      </w:r>
      <w:r>
        <w:rPr>
          <w:rFonts w:ascii="Palatino Linotype"/>
          <w:sz w:val="24"/>
        </w:rPr>
        <w:t>Methodology.</w:t>
      </w:r>
    </w:p>
    <w:p>
      <w:pPr>
        <w:pStyle w:val="BodyText"/>
        <w:rPr>
          <w:rFonts w:ascii="Palatino Linotype"/>
        </w:rPr>
      </w:pPr>
    </w:p>
    <w:p>
      <w:pPr>
        <w:pStyle w:val="BodyText"/>
        <w:rPr>
          <w:rFonts w:ascii="Palatino Linotype"/>
        </w:rPr>
      </w:pPr>
    </w:p>
    <w:p>
      <w:pPr>
        <w:pStyle w:val="BodyText"/>
        <w:rPr>
          <w:rFonts w:ascii="Palatino Linotype"/>
        </w:rPr>
      </w:pPr>
    </w:p>
    <w:p>
      <w:pPr>
        <w:spacing w:before="190"/>
        <w:ind w:left="119" w:right="0" w:firstLine="0"/>
        <w:jc w:val="left"/>
        <w:rPr>
          <w:rFonts w:ascii="Palatino Linotype"/>
          <w:i/>
          <w:sz w:val="24"/>
        </w:rPr>
      </w:pPr>
      <w:r>
        <w:rPr>
          <w:rFonts w:ascii="Palatino Linotype"/>
          <w:i/>
          <w:sz w:val="24"/>
        </w:rPr>
        <w:t>Findings with respect to the Sochi Laboratory</w:t>
      </w:r>
    </w:p>
    <w:p>
      <w:pPr>
        <w:pStyle w:val="BodyText"/>
        <w:rPr>
          <w:rFonts w:ascii="Palatino Linotype"/>
          <w:i/>
        </w:rPr>
      </w:pPr>
    </w:p>
    <w:p>
      <w:pPr>
        <w:pStyle w:val="BodyText"/>
        <w:rPr>
          <w:rFonts w:ascii="Palatino Linotype"/>
          <w:i/>
        </w:rPr>
      </w:pPr>
    </w:p>
    <w:p>
      <w:pPr>
        <w:pStyle w:val="ListParagraph"/>
        <w:numPr>
          <w:ilvl w:val="0"/>
          <w:numId w:val="29"/>
        </w:numPr>
        <w:tabs>
          <w:tab w:pos="840" w:val="left" w:leader="none"/>
        </w:tabs>
        <w:spacing w:line="429" w:lineRule="auto" w:before="185" w:after="0"/>
        <w:ind w:left="839" w:right="107" w:hanging="360"/>
        <w:jc w:val="both"/>
        <w:rPr>
          <w:rFonts w:ascii="Palatino Linotype"/>
          <w:sz w:val="24"/>
        </w:rPr>
      </w:pPr>
      <w:r>
        <w:rPr>
          <w:rFonts w:ascii="Palatino Linotype"/>
          <w:sz w:val="24"/>
        </w:rPr>
        <w:t>The planning for the unique Sochi Laboratory sample swapping involved the</w:t>
      </w:r>
      <w:r>
        <w:rPr>
          <w:rFonts w:ascii="Palatino Linotype"/>
          <w:spacing w:val="-7"/>
          <w:sz w:val="24"/>
        </w:rPr>
        <w:t> </w:t>
      </w:r>
      <w:r>
        <w:rPr>
          <w:rFonts w:ascii="Palatino Linotype"/>
          <w:sz w:val="24"/>
        </w:rPr>
        <w:t>Ministry</w:t>
      </w:r>
      <w:r>
        <w:rPr>
          <w:rFonts w:ascii="Palatino Linotype"/>
          <w:spacing w:val="-7"/>
          <w:sz w:val="24"/>
        </w:rPr>
        <w:t> </w:t>
      </w:r>
      <w:r>
        <w:rPr>
          <w:rFonts w:ascii="Palatino Linotype"/>
          <w:sz w:val="24"/>
        </w:rPr>
        <w:t>of</w:t>
      </w:r>
      <w:r>
        <w:rPr>
          <w:rFonts w:ascii="Palatino Linotype"/>
          <w:spacing w:val="-2"/>
          <w:sz w:val="24"/>
        </w:rPr>
        <w:t> </w:t>
      </w:r>
      <w:r>
        <w:rPr>
          <w:rFonts w:ascii="Palatino Linotype"/>
          <w:sz w:val="24"/>
        </w:rPr>
        <w:t>Sport,</w:t>
      </w:r>
      <w:r>
        <w:rPr>
          <w:rFonts w:ascii="Palatino Linotype"/>
          <w:spacing w:val="-4"/>
          <w:sz w:val="24"/>
        </w:rPr>
        <w:t> </w:t>
      </w:r>
      <w:r>
        <w:rPr>
          <w:rFonts w:ascii="Palatino Linotype"/>
          <w:sz w:val="24"/>
        </w:rPr>
        <w:t>FSB,</w:t>
      </w:r>
      <w:r>
        <w:rPr>
          <w:rFonts w:ascii="Palatino Linotype"/>
          <w:spacing w:val="-7"/>
          <w:sz w:val="24"/>
        </w:rPr>
        <w:t> </w:t>
      </w:r>
      <w:r>
        <w:rPr>
          <w:rFonts w:ascii="Palatino Linotype"/>
          <w:sz w:val="24"/>
        </w:rPr>
        <w:t>CSP,</w:t>
      </w:r>
      <w:r>
        <w:rPr>
          <w:rFonts w:ascii="Palatino Linotype"/>
          <w:spacing w:val="-7"/>
          <w:sz w:val="24"/>
        </w:rPr>
        <w:t> </w:t>
      </w:r>
      <w:r>
        <w:rPr>
          <w:rFonts w:ascii="Palatino Linotype"/>
          <w:sz w:val="24"/>
        </w:rPr>
        <w:t>and</w:t>
      </w:r>
      <w:r>
        <w:rPr>
          <w:rFonts w:ascii="Palatino Linotype"/>
          <w:spacing w:val="-7"/>
          <w:sz w:val="24"/>
        </w:rPr>
        <w:t> </w:t>
      </w:r>
      <w:r>
        <w:rPr>
          <w:rFonts w:ascii="Palatino Linotype"/>
          <w:sz w:val="24"/>
        </w:rPr>
        <w:t>the</w:t>
      </w:r>
      <w:r>
        <w:rPr>
          <w:rFonts w:ascii="Palatino Linotype"/>
          <w:spacing w:val="-7"/>
          <w:sz w:val="24"/>
        </w:rPr>
        <w:t> </w:t>
      </w:r>
      <w:r>
        <w:rPr>
          <w:rFonts w:ascii="Palatino Linotype"/>
          <w:sz w:val="24"/>
        </w:rPr>
        <w:t>Moscow</w:t>
      </w:r>
      <w:r>
        <w:rPr>
          <w:rFonts w:ascii="Palatino Linotype"/>
          <w:spacing w:val="-6"/>
          <w:sz w:val="24"/>
        </w:rPr>
        <w:t> </w:t>
      </w:r>
      <w:r>
        <w:rPr>
          <w:rFonts w:ascii="Palatino Linotype"/>
          <w:sz w:val="24"/>
        </w:rPr>
        <w:t>Laboratory.</w:t>
      </w:r>
    </w:p>
    <w:p>
      <w:pPr>
        <w:pStyle w:val="BodyText"/>
        <w:rPr>
          <w:rFonts w:ascii="Palatino Linotype"/>
        </w:rPr>
      </w:pPr>
    </w:p>
    <w:p>
      <w:pPr>
        <w:pStyle w:val="BodyText"/>
        <w:spacing w:before="9"/>
        <w:rPr>
          <w:rFonts w:ascii="Palatino Linotype"/>
          <w:sz w:val="18"/>
        </w:rPr>
      </w:pPr>
    </w:p>
    <w:p>
      <w:pPr>
        <w:pStyle w:val="ListParagraph"/>
        <w:numPr>
          <w:ilvl w:val="0"/>
          <w:numId w:val="29"/>
        </w:numPr>
        <w:tabs>
          <w:tab w:pos="840" w:val="left" w:leader="none"/>
        </w:tabs>
        <w:spacing w:line="427" w:lineRule="auto" w:before="0" w:after="0"/>
        <w:ind w:left="839" w:right="108" w:hanging="360"/>
        <w:jc w:val="both"/>
        <w:rPr>
          <w:rFonts w:ascii="Palatino Linotype"/>
          <w:sz w:val="24"/>
        </w:rPr>
      </w:pPr>
      <w:r>
        <w:rPr>
          <w:rFonts w:ascii="Palatino Linotype"/>
          <w:sz w:val="24"/>
        </w:rPr>
        <w:t>A pre-selected group of Russian athletes competing at Sochi were protected</w:t>
      </w:r>
      <w:r>
        <w:rPr>
          <w:rFonts w:ascii="Palatino Linotype"/>
          <w:spacing w:val="-8"/>
          <w:sz w:val="24"/>
        </w:rPr>
        <w:t> </w:t>
      </w:r>
      <w:r>
        <w:rPr>
          <w:rFonts w:ascii="Palatino Linotype"/>
          <w:sz w:val="24"/>
        </w:rPr>
        <w:t>by</w:t>
      </w:r>
      <w:r>
        <w:rPr>
          <w:rFonts w:ascii="Palatino Linotype"/>
          <w:spacing w:val="-9"/>
          <w:sz w:val="24"/>
        </w:rPr>
        <w:t> </w:t>
      </w:r>
      <w:r>
        <w:rPr>
          <w:rFonts w:ascii="Palatino Linotype"/>
          <w:sz w:val="24"/>
        </w:rPr>
        <w:t>the</w:t>
      </w:r>
      <w:r>
        <w:rPr>
          <w:rFonts w:ascii="Palatino Linotype"/>
          <w:spacing w:val="-8"/>
          <w:sz w:val="24"/>
        </w:rPr>
        <w:t> </w:t>
      </w:r>
      <w:r>
        <w:rPr>
          <w:rFonts w:ascii="Palatino Linotype"/>
          <w:sz w:val="24"/>
        </w:rPr>
        <w:t>Sochi</w:t>
      </w:r>
      <w:r>
        <w:rPr>
          <w:rFonts w:ascii="Palatino Linotype"/>
          <w:spacing w:val="-8"/>
          <w:sz w:val="24"/>
        </w:rPr>
        <w:t> </w:t>
      </w:r>
      <w:r>
        <w:rPr>
          <w:rFonts w:ascii="Palatino Linotype"/>
          <w:sz w:val="24"/>
        </w:rPr>
        <w:t>sample</w:t>
      </w:r>
      <w:r>
        <w:rPr>
          <w:rFonts w:ascii="Palatino Linotype"/>
          <w:spacing w:val="-6"/>
          <w:sz w:val="24"/>
        </w:rPr>
        <w:t> </w:t>
      </w:r>
      <w:r>
        <w:rPr>
          <w:rFonts w:ascii="Palatino Linotype"/>
          <w:sz w:val="24"/>
        </w:rPr>
        <w:t>swapping</w:t>
      </w:r>
      <w:r>
        <w:rPr>
          <w:rFonts w:ascii="Palatino Linotype"/>
          <w:spacing w:val="-8"/>
          <w:sz w:val="24"/>
        </w:rPr>
        <w:t> </w:t>
      </w:r>
      <w:r>
        <w:rPr>
          <w:rFonts w:ascii="Palatino Linotype"/>
          <w:sz w:val="24"/>
        </w:rPr>
        <w:t>methodology.</w:t>
      </w:r>
    </w:p>
    <w:p>
      <w:pPr>
        <w:pStyle w:val="BodyText"/>
        <w:rPr>
          <w:rFonts w:ascii="Palatino Linotype"/>
        </w:rPr>
      </w:pPr>
    </w:p>
    <w:p>
      <w:pPr>
        <w:pStyle w:val="BodyText"/>
        <w:rPr>
          <w:rFonts w:ascii="Palatino Linotype"/>
          <w:sz w:val="19"/>
        </w:rPr>
      </w:pPr>
    </w:p>
    <w:p>
      <w:pPr>
        <w:pStyle w:val="ListParagraph"/>
        <w:numPr>
          <w:ilvl w:val="0"/>
          <w:numId w:val="29"/>
        </w:numPr>
        <w:tabs>
          <w:tab w:pos="841" w:val="left" w:leader="none"/>
        </w:tabs>
        <w:spacing w:line="429" w:lineRule="auto" w:before="0" w:after="0"/>
        <w:ind w:left="839" w:right="109" w:hanging="360"/>
        <w:jc w:val="both"/>
        <w:rPr>
          <w:rFonts w:ascii="Palatino Linotype"/>
          <w:sz w:val="24"/>
        </w:rPr>
      </w:pPr>
      <w:r>
        <w:rPr>
          <w:rFonts w:ascii="Palatino Linotype"/>
          <w:sz w:val="24"/>
        </w:rPr>
        <w:t>The Laboratory analytical analysis has established that some samples had salt levels in excess of what can be found in a healthy human urine analysis,</w:t>
      </w:r>
      <w:r>
        <w:rPr>
          <w:rFonts w:ascii="Palatino Linotype"/>
          <w:spacing w:val="-7"/>
          <w:sz w:val="24"/>
        </w:rPr>
        <w:t> </w:t>
      </w:r>
      <w:r>
        <w:rPr>
          <w:rFonts w:ascii="Palatino Linotype"/>
          <w:sz w:val="24"/>
        </w:rPr>
        <w:t>thereby</w:t>
      </w:r>
      <w:r>
        <w:rPr>
          <w:rFonts w:ascii="Palatino Linotype"/>
          <w:spacing w:val="-7"/>
          <w:sz w:val="24"/>
        </w:rPr>
        <w:t> </w:t>
      </w:r>
      <w:r>
        <w:rPr>
          <w:rFonts w:ascii="Palatino Linotype"/>
          <w:sz w:val="24"/>
        </w:rPr>
        <w:t>confirming</w:t>
      </w:r>
      <w:r>
        <w:rPr>
          <w:rFonts w:ascii="Palatino Linotype"/>
          <w:spacing w:val="-7"/>
          <w:sz w:val="24"/>
        </w:rPr>
        <w:t> </w:t>
      </w:r>
      <w:r>
        <w:rPr>
          <w:rFonts w:ascii="Palatino Linotype"/>
          <w:sz w:val="24"/>
        </w:rPr>
        <w:t>interview</w:t>
      </w:r>
      <w:r>
        <w:rPr>
          <w:rFonts w:ascii="Palatino Linotype"/>
          <w:spacing w:val="-9"/>
          <w:sz w:val="24"/>
        </w:rPr>
        <w:t> </w:t>
      </w:r>
      <w:r>
        <w:rPr>
          <w:rFonts w:ascii="Palatino Linotype"/>
          <w:sz w:val="24"/>
        </w:rPr>
        <w:t>evidence</w:t>
      </w:r>
      <w:r>
        <w:rPr>
          <w:rFonts w:ascii="Palatino Linotype"/>
          <w:spacing w:val="-7"/>
          <w:sz w:val="24"/>
        </w:rPr>
        <w:t> </w:t>
      </w:r>
      <w:r>
        <w:rPr>
          <w:rFonts w:ascii="Palatino Linotype"/>
          <w:sz w:val="24"/>
        </w:rPr>
        <w:t>that</w:t>
      </w:r>
      <w:r>
        <w:rPr>
          <w:rFonts w:ascii="Palatino Linotype"/>
          <w:spacing w:val="-7"/>
          <w:sz w:val="24"/>
        </w:rPr>
        <w:t> </w:t>
      </w:r>
      <w:r>
        <w:rPr>
          <w:rFonts w:ascii="Palatino Linotype"/>
          <w:sz w:val="24"/>
        </w:rPr>
        <w:t>salt</w:t>
      </w:r>
      <w:r>
        <w:rPr>
          <w:rFonts w:ascii="Palatino Linotype"/>
          <w:spacing w:val="-7"/>
          <w:sz w:val="24"/>
        </w:rPr>
        <w:t> </w:t>
      </w:r>
      <w:r>
        <w:rPr>
          <w:rFonts w:ascii="Palatino Linotype"/>
          <w:sz w:val="24"/>
        </w:rPr>
        <w:t>had</w:t>
      </w:r>
      <w:r>
        <w:rPr>
          <w:rFonts w:ascii="Palatino Linotype"/>
          <w:spacing w:val="-7"/>
          <w:sz w:val="24"/>
        </w:rPr>
        <w:t> </w:t>
      </w:r>
      <w:r>
        <w:rPr>
          <w:rFonts w:ascii="Palatino Linotype"/>
          <w:sz w:val="24"/>
        </w:rPr>
        <w:t>been</w:t>
      </w:r>
      <w:r>
        <w:rPr>
          <w:rFonts w:ascii="Palatino Linotype"/>
          <w:spacing w:val="-7"/>
          <w:sz w:val="24"/>
        </w:rPr>
        <w:t> </w:t>
      </w:r>
      <w:r>
        <w:rPr>
          <w:rFonts w:ascii="Palatino Linotype"/>
          <w:sz w:val="24"/>
        </w:rPr>
        <w:t>added.</w:t>
      </w:r>
    </w:p>
    <w:p>
      <w:pPr>
        <w:pStyle w:val="BodyText"/>
        <w:rPr>
          <w:rFonts w:ascii="Palatino Linotype"/>
        </w:rPr>
      </w:pPr>
    </w:p>
    <w:p>
      <w:pPr>
        <w:pStyle w:val="BodyText"/>
        <w:spacing w:before="1"/>
        <w:rPr>
          <w:rFonts w:ascii="Palatino Linotype"/>
          <w:sz w:val="19"/>
        </w:rPr>
      </w:pPr>
    </w:p>
    <w:p>
      <w:pPr>
        <w:pStyle w:val="ListParagraph"/>
        <w:numPr>
          <w:ilvl w:val="0"/>
          <w:numId w:val="29"/>
        </w:numPr>
        <w:tabs>
          <w:tab w:pos="840" w:val="left" w:leader="none"/>
        </w:tabs>
        <w:spacing w:line="427" w:lineRule="auto" w:before="1" w:after="0"/>
        <w:ind w:left="839" w:right="108" w:hanging="360"/>
        <w:jc w:val="both"/>
        <w:rPr>
          <w:rFonts w:ascii="Palatino Linotype"/>
          <w:sz w:val="24"/>
        </w:rPr>
      </w:pPr>
      <w:r>
        <w:rPr>
          <w:rFonts w:ascii="Palatino Linotype"/>
          <w:sz w:val="24"/>
        </w:rPr>
        <w:t>Every sample bottle the IP investigation team examined revealed evidence of</w:t>
      </w:r>
      <w:r>
        <w:rPr>
          <w:rFonts w:ascii="Palatino Linotype"/>
          <w:spacing w:val="-4"/>
          <w:sz w:val="24"/>
        </w:rPr>
        <w:t> </w:t>
      </w:r>
      <w:r>
        <w:rPr>
          <w:rFonts w:ascii="Palatino Linotype"/>
          <w:sz w:val="24"/>
        </w:rPr>
        <w:t>tampering</w:t>
      </w:r>
      <w:r>
        <w:rPr>
          <w:rFonts w:ascii="Palatino Linotype"/>
          <w:spacing w:val="-7"/>
          <w:sz w:val="24"/>
        </w:rPr>
        <w:t> </w:t>
      </w:r>
      <w:r>
        <w:rPr>
          <w:rFonts w:ascii="Palatino Linotype"/>
          <w:sz w:val="24"/>
        </w:rPr>
        <w:t>consistent</w:t>
      </w:r>
      <w:r>
        <w:rPr>
          <w:rFonts w:ascii="Palatino Linotype"/>
          <w:spacing w:val="-6"/>
          <w:sz w:val="24"/>
        </w:rPr>
        <w:t> </w:t>
      </w:r>
      <w:r>
        <w:rPr>
          <w:rFonts w:ascii="Palatino Linotype"/>
          <w:sz w:val="24"/>
        </w:rPr>
        <w:t>with</w:t>
      </w:r>
      <w:r>
        <w:rPr>
          <w:rFonts w:ascii="Palatino Linotype"/>
          <w:spacing w:val="-6"/>
          <w:sz w:val="24"/>
        </w:rPr>
        <w:t> </w:t>
      </w:r>
      <w:r>
        <w:rPr>
          <w:rFonts w:ascii="Palatino Linotype"/>
          <w:sz w:val="24"/>
        </w:rPr>
        <w:t>the</w:t>
      </w:r>
      <w:r>
        <w:rPr>
          <w:rFonts w:ascii="Palatino Linotype"/>
          <w:spacing w:val="-6"/>
          <w:sz w:val="24"/>
        </w:rPr>
        <w:t> </w:t>
      </w:r>
      <w:r>
        <w:rPr>
          <w:rFonts w:ascii="Palatino Linotype"/>
          <w:sz w:val="24"/>
        </w:rPr>
        <w:t>caps</w:t>
      </w:r>
      <w:r>
        <w:rPr>
          <w:rFonts w:ascii="Palatino Linotype"/>
          <w:spacing w:val="-6"/>
          <w:sz w:val="24"/>
        </w:rPr>
        <w:t> </w:t>
      </w:r>
      <w:r>
        <w:rPr>
          <w:rFonts w:ascii="Palatino Linotype"/>
          <w:sz w:val="24"/>
        </w:rPr>
        <w:t>being</w:t>
      </w:r>
      <w:r>
        <w:rPr>
          <w:rFonts w:ascii="Palatino Linotype"/>
          <w:spacing w:val="-6"/>
          <w:sz w:val="24"/>
        </w:rPr>
        <w:t> </w:t>
      </w:r>
      <w:r>
        <w:rPr>
          <w:rFonts w:ascii="Palatino Linotype"/>
          <w:sz w:val="24"/>
        </w:rPr>
        <w:t>removed</w:t>
      </w:r>
      <w:r>
        <w:rPr>
          <w:rFonts w:ascii="Palatino Linotype"/>
          <w:spacing w:val="-6"/>
          <w:sz w:val="24"/>
        </w:rPr>
        <w:t> </w:t>
      </w:r>
      <w:r>
        <w:rPr>
          <w:rFonts w:ascii="Palatino Linotype"/>
          <w:sz w:val="24"/>
        </w:rPr>
        <w:t>and</w:t>
      </w:r>
      <w:r>
        <w:rPr>
          <w:rFonts w:ascii="Palatino Linotype"/>
          <w:spacing w:val="-6"/>
          <w:sz w:val="24"/>
        </w:rPr>
        <w:t> </w:t>
      </w:r>
      <w:r>
        <w:rPr>
          <w:rFonts w:ascii="Palatino Linotype"/>
          <w:sz w:val="24"/>
        </w:rPr>
        <w:t>reused.</w:t>
      </w:r>
    </w:p>
    <w:p>
      <w:pPr>
        <w:spacing w:after="0" w:line="427" w:lineRule="auto"/>
        <w:jc w:val="both"/>
        <w:rPr>
          <w:rFonts w:ascii="Palatino Linotype"/>
          <w:sz w:val="24"/>
        </w:rPr>
        <w:sectPr>
          <w:footerReference w:type="default" r:id="rId142"/>
          <w:pgSz w:w="12240" w:h="15840"/>
          <w:pgMar w:footer="707" w:header="0" w:top="1440" w:bottom="900" w:left="1700" w:right="1680"/>
        </w:sectPr>
      </w:pPr>
    </w:p>
    <w:p>
      <w:pPr>
        <w:pStyle w:val="ListParagraph"/>
        <w:numPr>
          <w:ilvl w:val="0"/>
          <w:numId w:val="29"/>
        </w:numPr>
        <w:tabs>
          <w:tab w:pos="841" w:val="left" w:leader="none"/>
        </w:tabs>
        <w:spacing w:line="429" w:lineRule="auto" w:before="0" w:after="0"/>
        <w:ind w:left="839" w:right="106" w:hanging="360"/>
        <w:jc w:val="left"/>
        <w:rPr>
          <w:rFonts w:ascii="Palatino Linotype"/>
          <w:sz w:val="24"/>
        </w:rPr>
      </w:pPr>
      <w:r>
        <w:rPr>
          <w:rFonts w:ascii="Palatino Linotype"/>
          <w:sz w:val="24"/>
        </w:rPr>
        <w:t>The DNA analysis confirmed 3 samples where the DNA did not match that of the</w:t>
      </w:r>
      <w:r>
        <w:rPr>
          <w:rFonts w:ascii="Palatino Linotype"/>
          <w:spacing w:val="-18"/>
          <w:sz w:val="24"/>
        </w:rPr>
        <w:t> </w:t>
      </w:r>
      <w:r>
        <w:rPr>
          <w:rFonts w:ascii="Palatino Linotype"/>
          <w:sz w:val="24"/>
        </w:rPr>
        <w:t>athlete.</w:t>
      </w:r>
    </w:p>
    <w:p>
      <w:pPr>
        <w:pStyle w:val="BodyText"/>
        <w:rPr>
          <w:rFonts w:ascii="Palatino Linotype"/>
        </w:rPr>
      </w:pPr>
    </w:p>
    <w:p>
      <w:pPr>
        <w:pStyle w:val="BodyText"/>
        <w:rPr>
          <w:rFonts w:ascii="Palatino Linotype"/>
        </w:rPr>
      </w:pPr>
    </w:p>
    <w:p>
      <w:pPr>
        <w:pStyle w:val="BodyText"/>
        <w:rPr>
          <w:rFonts w:ascii="Palatino Linotype"/>
        </w:rPr>
      </w:pPr>
    </w:p>
    <w:p>
      <w:pPr>
        <w:spacing w:before="182"/>
        <w:ind w:left="119" w:right="0" w:firstLine="0"/>
        <w:jc w:val="left"/>
        <w:rPr>
          <w:rFonts w:ascii="Palatino Linotype"/>
          <w:i/>
          <w:sz w:val="24"/>
        </w:rPr>
      </w:pPr>
      <w:r>
        <w:rPr>
          <w:rFonts w:ascii="Palatino Linotype"/>
          <w:i/>
          <w:sz w:val="24"/>
        </w:rPr>
        <w:t>Findings with respect to the Ministry of Sport</w:t>
      </w:r>
    </w:p>
    <w:p>
      <w:pPr>
        <w:pStyle w:val="BodyText"/>
        <w:rPr>
          <w:rFonts w:ascii="Palatino Linotype"/>
          <w:i/>
        </w:rPr>
      </w:pPr>
    </w:p>
    <w:p>
      <w:pPr>
        <w:pStyle w:val="BodyText"/>
        <w:rPr>
          <w:rFonts w:ascii="Palatino Linotype"/>
          <w:i/>
        </w:rPr>
      </w:pPr>
    </w:p>
    <w:p>
      <w:pPr>
        <w:pStyle w:val="ListParagraph"/>
        <w:numPr>
          <w:ilvl w:val="0"/>
          <w:numId w:val="30"/>
        </w:numPr>
        <w:tabs>
          <w:tab w:pos="840" w:val="left" w:leader="none"/>
        </w:tabs>
        <w:spacing w:line="429" w:lineRule="auto" w:before="185" w:after="0"/>
        <w:ind w:left="839" w:right="109" w:hanging="360"/>
        <w:jc w:val="left"/>
        <w:rPr>
          <w:rFonts w:ascii="Palatino Linotype"/>
          <w:sz w:val="24"/>
        </w:rPr>
      </w:pPr>
      <w:r>
        <w:rPr>
          <w:rFonts w:ascii="Palatino Linotype"/>
          <w:sz w:val="24"/>
        </w:rPr>
        <w:t>The Ministry of Sport made the determination as to which athletes would be protected by the Disappearing Positive</w:t>
      </w:r>
      <w:r>
        <w:rPr>
          <w:rFonts w:ascii="Palatino Linotype"/>
          <w:spacing w:val="-39"/>
          <w:sz w:val="24"/>
        </w:rPr>
        <w:t> </w:t>
      </w:r>
      <w:r>
        <w:rPr>
          <w:rFonts w:ascii="Palatino Linotype"/>
          <w:sz w:val="24"/>
        </w:rPr>
        <w:t>Methodology.</w:t>
      </w:r>
    </w:p>
    <w:p>
      <w:pPr>
        <w:pStyle w:val="BodyText"/>
        <w:rPr>
          <w:rFonts w:ascii="Palatino Linotype"/>
        </w:rPr>
      </w:pPr>
    </w:p>
    <w:p>
      <w:pPr>
        <w:pStyle w:val="BodyText"/>
        <w:spacing w:before="10"/>
        <w:rPr>
          <w:rFonts w:ascii="Palatino Linotype"/>
          <w:sz w:val="18"/>
        </w:rPr>
      </w:pPr>
    </w:p>
    <w:p>
      <w:pPr>
        <w:pStyle w:val="ListParagraph"/>
        <w:numPr>
          <w:ilvl w:val="0"/>
          <w:numId w:val="30"/>
        </w:numPr>
        <w:tabs>
          <w:tab w:pos="840" w:val="left" w:leader="none"/>
        </w:tabs>
        <w:spacing w:line="429" w:lineRule="auto" w:before="0" w:after="0"/>
        <w:ind w:left="839" w:right="108" w:hanging="360"/>
        <w:jc w:val="left"/>
        <w:rPr>
          <w:rFonts w:ascii="Palatino Linotype"/>
          <w:sz w:val="24"/>
        </w:rPr>
      </w:pPr>
      <w:r>
        <w:rPr>
          <w:rFonts w:ascii="Palatino Linotype"/>
          <w:sz w:val="24"/>
        </w:rPr>
        <w:t>The Deputy Minister of Sport in his discretion made the save or  quarantine</w:t>
      </w:r>
      <w:r>
        <w:rPr>
          <w:rFonts w:ascii="Palatino Linotype"/>
          <w:spacing w:val="-12"/>
          <w:sz w:val="24"/>
        </w:rPr>
        <w:t> </w:t>
      </w:r>
      <w:r>
        <w:rPr>
          <w:rFonts w:ascii="Palatino Linotype"/>
          <w:sz w:val="24"/>
        </w:rPr>
        <w:t>order.</w:t>
      </w:r>
    </w:p>
    <w:p>
      <w:pPr>
        <w:pStyle w:val="BodyText"/>
        <w:rPr>
          <w:rFonts w:ascii="Palatino Linotype"/>
        </w:rPr>
      </w:pPr>
    </w:p>
    <w:p>
      <w:pPr>
        <w:pStyle w:val="BodyText"/>
        <w:spacing w:before="9"/>
        <w:rPr>
          <w:rFonts w:ascii="Palatino Linotype"/>
          <w:sz w:val="18"/>
        </w:rPr>
      </w:pPr>
    </w:p>
    <w:p>
      <w:pPr>
        <w:pStyle w:val="ListParagraph"/>
        <w:numPr>
          <w:ilvl w:val="0"/>
          <w:numId w:val="30"/>
        </w:numPr>
        <w:tabs>
          <w:tab w:pos="841" w:val="left" w:leader="none"/>
        </w:tabs>
        <w:spacing w:line="427" w:lineRule="auto" w:before="0" w:after="0"/>
        <w:ind w:left="839" w:right="110" w:hanging="360"/>
        <w:jc w:val="left"/>
        <w:rPr>
          <w:rFonts w:ascii="Palatino Linotype"/>
          <w:sz w:val="24"/>
        </w:rPr>
      </w:pPr>
      <w:r>
        <w:rPr>
          <w:rFonts w:ascii="Palatino Linotype"/>
          <w:sz w:val="24"/>
        </w:rPr>
        <w:t>Russian officials knew that Russian athletes competing at Sochi used doping</w:t>
      </w:r>
      <w:r>
        <w:rPr>
          <w:rFonts w:ascii="Palatino Linotype"/>
          <w:spacing w:val="-11"/>
          <w:sz w:val="24"/>
        </w:rPr>
        <w:t> </w:t>
      </w:r>
      <w:r>
        <w:rPr>
          <w:rFonts w:ascii="Palatino Linotype"/>
          <w:sz w:val="24"/>
        </w:rPr>
        <w:t>substances.</w:t>
      </w:r>
    </w:p>
    <w:p>
      <w:pPr>
        <w:pStyle w:val="BodyText"/>
        <w:rPr>
          <w:rFonts w:ascii="Palatino Linotype"/>
        </w:rPr>
      </w:pPr>
    </w:p>
    <w:p>
      <w:pPr>
        <w:pStyle w:val="BodyText"/>
        <w:rPr>
          <w:rFonts w:ascii="Palatino Linotype"/>
          <w:sz w:val="19"/>
        </w:rPr>
      </w:pPr>
    </w:p>
    <w:p>
      <w:pPr>
        <w:spacing w:before="0"/>
        <w:ind w:left="119" w:right="0" w:firstLine="0"/>
        <w:jc w:val="left"/>
        <w:rPr>
          <w:rFonts w:ascii="Palatino Linotype"/>
          <w:i/>
          <w:sz w:val="24"/>
        </w:rPr>
      </w:pPr>
      <w:r>
        <w:rPr>
          <w:rFonts w:ascii="Palatino Linotype"/>
          <w:i/>
          <w:sz w:val="24"/>
        </w:rPr>
        <w:t>Findings with respect to the FSB</w:t>
      </w:r>
    </w:p>
    <w:p>
      <w:pPr>
        <w:pStyle w:val="BodyText"/>
        <w:rPr>
          <w:rFonts w:ascii="Palatino Linotype"/>
          <w:i/>
        </w:rPr>
      </w:pPr>
    </w:p>
    <w:p>
      <w:pPr>
        <w:pStyle w:val="BodyText"/>
        <w:rPr>
          <w:rFonts w:ascii="Palatino Linotype"/>
          <w:i/>
        </w:rPr>
      </w:pPr>
    </w:p>
    <w:p>
      <w:pPr>
        <w:pStyle w:val="ListParagraph"/>
        <w:numPr>
          <w:ilvl w:val="1"/>
          <w:numId w:val="30"/>
        </w:numPr>
        <w:tabs>
          <w:tab w:pos="1200" w:val="left" w:leader="none"/>
        </w:tabs>
        <w:spacing w:line="429" w:lineRule="auto" w:before="185" w:after="0"/>
        <w:ind w:left="1199" w:right="105" w:hanging="360"/>
        <w:jc w:val="both"/>
        <w:rPr>
          <w:rFonts w:ascii="Palatino Linotype"/>
          <w:sz w:val="24"/>
        </w:rPr>
      </w:pPr>
      <w:r>
        <w:rPr>
          <w:rFonts w:ascii="Palatino Linotype"/>
          <w:sz w:val="24"/>
        </w:rPr>
        <w:t>The precise method used by the FSB to open the Sochi sample bottles is unknown. The IP experts conclusively established that the caps can be removed and reused</w:t>
      </w:r>
      <w:r>
        <w:rPr>
          <w:rFonts w:ascii="Palatino Linotype"/>
          <w:spacing w:val="-19"/>
          <w:sz w:val="24"/>
        </w:rPr>
        <w:t> </w:t>
      </w:r>
      <w:r>
        <w:rPr>
          <w:rFonts w:ascii="Palatino Linotype"/>
          <w:sz w:val="24"/>
        </w:rPr>
        <w:t>later.</w:t>
      </w:r>
    </w:p>
    <w:p>
      <w:pPr>
        <w:spacing w:after="0" w:line="429" w:lineRule="auto"/>
        <w:jc w:val="both"/>
        <w:rPr>
          <w:rFonts w:ascii="Palatino Linotype"/>
          <w:sz w:val="24"/>
        </w:rPr>
        <w:sectPr>
          <w:pgSz w:w="12240" w:h="15840"/>
          <w:pgMar w:header="0" w:footer="707" w:top="1440" w:bottom="900" w:left="1700" w:right="1680"/>
        </w:sectPr>
      </w:pPr>
    </w:p>
    <w:p>
      <w:pPr>
        <w:spacing w:line="312" w:lineRule="exact" w:before="0"/>
        <w:ind w:left="119" w:right="0" w:firstLine="0"/>
        <w:jc w:val="left"/>
        <w:rPr>
          <w:rFonts w:ascii="Palatino Linotype"/>
          <w:i/>
          <w:sz w:val="24"/>
        </w:rPr>
      </w:pPr>
      <w:r>
        <w:rPr>
          <w:rFonts w:ascii="Palatino Linotype"/>
          <w:i/>
          <w:sz w:val="24"/>
        </w:rPr>
        <w:t>Other Findings</w:t>
      </w:r>
    </w:p>
    <w:p>
      <w:pPr>
        <w:pStyle w:val="BodyText"/>
        <w:rPr>
          <w:rFonts w:ascii="Palatino Linotype"/>
          <w:i/>
        </w:rPr>
      </w:pPr>
    </w:p>
    <w:p>
      <w:pPr>
        <w:pStyle w:val="BodyText"/>
        <w:rPr>
          <w:rFonts w:ascii="Palatino Linotype"/>
          <w:i/>
        </w:rPr>
      </w:pPr>
    </w:p>
    <w:p>
      <w:pPr>
        <w:pStyle w:val="BodyText"/>
        <w:spacing w:line="429" w:lineRule="auto" w:before="185"/>
        <w:ind w:left="1199" w:hanging="360"/>
        <w:rPr>
          <w:rFonts w:ascii="Palatino Linotype"/>
        </w:rPr>
      </w:pPr>
      <w:r>
        <w:rPr>
          <w:rFonts w:ascii="Palatino Linotype"/>
        </w:rPr>
        <w:t>1. The ongoing work of the IP investigation after the letter to the IAAF reinforced the conclusions therein.</w:t>
      </w:r>
    </w:p>
    <w:p>
      <w:pPr>
        <w:spacing w:after="0" w:line="429" w:lineRule="auto"/>
        <w:rPr>
          <w:rFonts w:ascii="Palatino Linotype"/>
        </w:rPr>
        <w:sectPr>
          <w:footerReference w:type="default" r:id="rId143"/>
          <w:pgSz w:w="12240" w:h="15840"/>
          <w:pgMar w:footer="707" w:header="0" w:top="1440" w:bottom="900" w:left="1700" w:right="1680"/>
        </w:sectPr>
      </w:pPr>
    </w:p>
    <w:p>
      <w:pPr>
        <w:pStyle w:val="Heading1"/>
        <w:spacing w:line="319" w:lineRule="exact"/>
        <w:ind w:left="3702" w:right="3703"/>
        <w:jc w:val="center"/>
        <w:rPr>
          <w:rFonts w:ascii="Times New Roman"/>
        </w:rPr>
      </w:pPr>
      <w:r>
        <w:rPr>
          <w:rFonts w:ascii="Times New Roman"/>
          <w:w w:val="110"/>
        </w:rPr>
        <w:t>EXHIBIT l</w:t>
      </w:r>
    </w:p>
    <w:p>
      <w:pPr>
        <w:spacing w:after="0" w:line="319" w:lineRule="exact"/>
        <w:jc w:val="center"/>
        <w:rPr>
          <w:rFonts w:ascii="Times New Roman"/>
        </w:rPr>
        <w:sectPr>
          <w:pgSz w:w="12240" w:h="15840"/>
          <w:pgMar w:header="0" w:footer="707" w:top="1460" w:bottom="900" w:left="1720" w:right="1680"/>
        </w:sectPr>
      </w:pPr>
    </w:p>
    <w:p>
      <w:pPr>
        <w:pStyle w:val="BodyText"/>
        <w:rPr>
          <w:sz w:val="20"/>
        </w:rPr>
      </w:pPr>
    </w:p>
    <w:p>
      <w:pPr>
        <w:pStyle w:val="BodyText"/>
        <w:spacing w:before="6"/>
        <w:rPr>
          <w:sz w:val="23"/>
        </w:rPr>
      </w:pPr>
    </w:p>
    <w:p>
      <w:pPr>
        <w:spacing w:before="8"/>
        <w:ind w:left="119" w:right="0" w:firstLine="0"/>
        <w:jc w:val="both"/>
        <w:rPr>
          <w:rFonts w:ascii="Palatino Linotype"/>
          <w:i/>
          <w:sz w:val="24"/>
        </w:rPr>
      </w:pPr>
      <w:r>
        <w:rPr>
          <w:rFonts w:ascii="Palatino Linotype"/>
          <w:i/>
          <w:sz w:val="24"/>
        </w:rPr>
        <w:t>[IP Un-official Translation]</w:t>
      </w:r>
    </w:p>
    <w:p>
      <w:pPr>
        <w:pStyle w:val="BodyText"/>
        <w:rPr>
          <w:rFonts w:ascii="Palatino Linotype"/>
          <w:i/>
        </w:rPr>
      </w:pPr>
    </w:p>
    <w:p>
      <w:pPr>
        <w:pStyle w:val="BodyText"/>
        <w:rPr>
          <w:rFonts w:ascii="Palatino Linotype"/>
          <w:i/>
        </w:rPr>
      </w:pPr>
    </w:p>
    <w:p>
      <w:pPr>
        <w:pStyle w:val="BodyText"/>
        <w:spacing w:before="213"/>
        <w:ind w:left="119"/>
        <w:jc w:val="both"/>
      </w:pPr>
      <w:r>
        <w:rPr>
          <w:w w:val="105"/>
        </w:rPr>
        <w:t>SITUATION IN ATHLETICS, JANUARY 2015</w:t>
      </w:r>
    </w:p>
    <w:p>
      <w:pPr>
        <w:pStyle w:val="BodyText"/>
        <w:spacing w:before="1"/>
        <w:rPr>
          <w:sz w:val="26"/>
        </w:rPr>
      </w:pPr>
    </w:p>
    <w:p>
      <w:pPr>
        <w:pStyle w:val="ListParagraph"/>
        <w:numPr>
          <w:ilvl w:val="0"/>
          <w:numId w:val="31"/>
        </w:numPr>
        <w:tabs>
          <w:tab w:pos="359" w:val="left" w:leader="none"/>
        </w:tabs>
        <w:spacing w:line="240" w:lineRule="auto" w:before="0" w:after="0"/>
        <w:ind w:left="358" w:right="0" w:hanging="239"/>
        <w:jc w:val="both"/>
        <w:rPr>
          <w:sz w:val="24"/>
        </w:rPr>
      </w:pPr>
      <w:r>
        <w:rPr>
          <w:w w:val="110"/>
          <w:sz w:val="24"/>
        </w:rPr>
        <w:t>The legacy of the</w:t>
      </w:r>
      <w:r>
        <w:rPr>
          <w:spacing w:val="-42"/>
          <w:w w:val="110"/>
          <w:sz w:val="24"/>
        </w:rPr>
        <w:t> </w:t>
      </w:r>
      <w:r>
        <w:rPr>
          <w:w w:val="110"/>
          <w:sz w:val="24"/>
        </w:rPr>
        <w:t>past</w:t>
      </w:r>
    </w:p>
    <w:p>
      <w:pPr>
        <w:pStyle w:val="BodyText"/>
        <w:spacing w:before="5"/>
        <w:rPr>
          <w:sz w:val="26"/>
        </w:rPr>
      </w:pPr>
    </w:p>
    <w:p>
      <w:pPr>
        <w:pStyle w:val="BodyText"/>
        <w:spacing w:line="252" w:lineRule="auto" w:before="1"/>
        <w:ind w:left="119" w:right="106"/>
        <w:jc w:val="both"/>
      </w:pPr>
      <w:r>
        <w:rPr>
          <w:w w:val="110"/>
        </w:rPr>
        <w:t>Athletics was always on doping programs. In the USSR, it was simply that way, it was control and discipline, scientific development and exchange of experience. However, after the 1988 Seoul appeared the Out of completion control, and soon the borders opened. Then there are new devices, methods, WADA - and with the help of ADAMS controls everything and all - laboratory, athletes, competition, a federation. That is, all were eventually gathered together and began to keep records and have virtually global control. Of particular danger are those samples of urine and blood from the last Olympic Games stored up in the basement storage laboratory at the University of Lausanne. If you now reanalyzed with the help of new instruments Beijing samples - it will be a disaster. For example from 1990 -2000- previously oralturinabol could only be determined within 5-7 days use, in 2015, the new sensitive instruments can determine it 4-6 months. Neither the IAAF or IOC does not want opening of the trial and the subsequent scandals, but the German broadcaster ARD (this Hajo Seppelt, who shot the film about Russian athletics, and Florian Bauer) oversees this process. They made (open letter to Bauer Arne Lundqvist, April 2012) on the eve of Olympic Games in London now be analyzed samples from the Athens 2004 Olympic Games. This was done just in a discriminatory format of 3000 samples, tested samples only 100</w:t>
      </w:r>
      <w:r>
        <w:rPr>
          <w:spacing w:val="-10"/>
          <w:w w:val="110"/>
        </w:rPr>
        <w:t> </w:t>
      </w:r>
      <w:r>
        <w:rPr>
          <w:w w:val="110"/>
        </w:rPr>
        <w:t>athletes</w:t>
      </w:r>
      <w:r>
        <w:rPr>
          <w:spacing w:val="-11"/>
          <w:w w:val="110"/>
        </w:rPr>
        <w:t> </w:t>
      </w:r>
      <w:r>
        <w:rPr>
          <w:w w:val="110"/>
        </w:rPr>
        <w:t>from</w:t>
      </w:r>
      <w:r>
        <w:rPr>
          <w:spacing w:val="-10"/>
          <w:w w:val="110"/>
        </w:rPr>
        <w:t> </w:t>
      </w:r>
      <w:r>
        <w:rPr>
          <w:w w:val="110"/>
        </w:rPr>
        <w:t>Russia,</w:t>
      </w:r>
      <w:r>
        <w:rPr>
          <w:spacing w:val="-10"/>
          <w:w w:val="110"/>
        </w:rPr>
        <w:t> </w:t>
      </w:r>
      <w:r>
        <w:rPr>
          <w:w w:val="110"/>
        </w:rPr>
        <w:t>Ukraine</w:t>
      </w:r>
      <w:r>
        <w:rPr>
          <w:spacing w:val="-11"/>
          <w:w w:val="110"/>
        </w:rPr>
        <w:t> </w:t>
      </w:r>
      <w:r>
        <w:rPr>
          <w:w w:val="110"/>
        </w:rPr>
        <w:t>and</w:t>
      </w:r>
      <w:r>
        <w:rPr>
          <w:spacing w:val="-10"/>
          <w:w w:val="110"/>
        </w:rPr>
        <w:t> </w:t>
      </w:r>
      <w:r>
        <w:rPr>
          <w:w w:val="110"/>
        </w:rPr>
        <w:t>Belarus,</w:t>
      </w:r>
      <w:r>
        <w:rPr>
          <w:spacing w:val="-10"/>
          <w:w w:val="110"/>
        </w:rPr>
        <w:t> </w:t>
      </w:r>
      <w:r>
        <w:rPr>
          <w:w w:val="110"/>
        </w:rPr>
        <w:t>five</w:t>
      </w:r>
      <w:r>
        <w:rPr>
          <w:spacing w:val="-10"/>
          <w:w w:val="110"/>
        </w:rPr>
        <w:t> </w:t>
      </w:r>
      <w:r>
        <w:rPr>
          <w:w w:val="110"/>
        </w:rPr>
        <w:t>positive</w:t>
      </w:r>
      <w:r>
        <w:rPr>
          <w:spacing w:val="-10"/>
          <w:w w:val="110"/>
        </w:rPr>
        <w:t> </w:t>
      </w:r>
      <w:r>
        <w:rPr>
          <w:w w:val="110"/>
        </w:rPr>
        <w:t>samples</w:t>
      </w:r>
      <w:r>
        <w:rPr>
          <w:spacing w:val="-10"/>
          <w:w w:val="110"/>
        </w:rPr>
        <w:t> </w:t>
      </w:r>
      <w:r>
        <w:rPr>
          <w:w w:val="110"/>
        </w:rPr>
        <w:t>of</w:t>
      </w:r>
      <w:r>
        <w:rPr>
          <w:spacing w:val="-10"/>
          <w:w w:val="110"/>
        </w:rPr>
        <w:t> </w:t>
      </w:r>
      <w:r>
        <w:rPr>
          <w:w w:val="110"/>
        </w:rPr>
        <w:t>athletes</w:t>
      </w:r>
      <w:r>
        <w:rPr>
          <w:spacing w:val="-13"/>
          <w:w w:val="110"/>
        </w:rPr>
        <w:t> </w:t>
      </w:r>
      <w:r>
        <w:rPr>
          <w:w w:val="110"/>
        </w:rPr>
        <w:t>... the United States has not been touched at all, in spite of the passage while the investigation</w:t>
      </w:r>
      <w:r>
        <w:rPr>
          <w:spacing w:val="-9"/>
          <w:w w:val="110"/>
        </w:rPr>
        <w:t> </w:t>
      </w:r>
      <w:r>
        <w:rPr>
          <w:w w:val="110"/>
        </w:rPr>
        <w:t>into</w:t>
      </w:r>
      <w:r>
        <w:rPr>
          <w:spacing w:val="-10"/>
          <w:w w:val="110"/>
        </w:rPr>
        <w:t> </w:t>
      </w:r>
      <w:r>
        <w:rPr>
          <w:w w:val="110"/>
        </w:rPr>
        <w:t>the</w:t>
      </w:r>
      <w:r>
        <w:rPr>
          <w:spacing w:val="-10"/>
          <w:w w:val="110"/>
        </w:rPr>
        <w:t> </w:t>
      </w:r>
      <w:r>
        <w:rPr>
          <w:w w:val="110"/>
        </w:rPr>
        <w:t>most</w:t>
      </w:r>
      <w:r>
        <w:rPr>
          <w:spacing w:val="-10"/>
          <w:w w:val="110"/>
        </w:rPr>
        <w:t> </w:t>
      </w:r>
      <w:r>
        <w:rPr>
          <w:w w:val="110"/>
        </w:rPr>
        <w:t>notorious</w:t>
      </w:r>
      <w:r>
        <w:rPr>
          <w:spacing w:val="-10"/>
          <w:w w:val="110"/>
        </w:rPr>
        <w:t> </w:t>
      </w:r>
      <w:r>
        <w:rPr>
          <w:w w:val="110"/>
        </w:rPr>
        <w:t>doping</w:t>
      </w:r>
      <w:r>
        <w:rPr>
          <w:spacing w:val="-10"/>
          <w:w w:val="110"/>
        </w:rPr>
        <w:t> </w:t>
      </w:r>
      <w:r>
        <w:rPr>
          <w:w w:val="110"/>
        </w:rPr>
        <w:t>case</w:t>
      </w:r>
      <w:r>
        <w:rPr>
          <w:spacing w:val="-10"/>
          <w:w w:val="110"/>
        </w:rPr>
        <w:t> </w:t>
      </w:r>
      <w:r>
        <w:rPr>
          <w:w w:val="110"/>
        </w:rPr>
        <w:t>BALCO!</w:t>
      </w:r>
    </w:p>
    <w:p>
      <w:pPr>
        <w:pStyle w:val="BodyText"/>
        <w:spacing w:before="4"/>
        <w:rPr>
          <w:sz w:val="25"/>
        </w:rPr>
      </w:pPr>
    </w:p>
    <w:p>
      <w:pPr>
        <w:pStyle w:val="BodyText"/>
        <w:spacing w:line="252" w:lineRule="auto"/>
        <w:ind w:left="119" w:right="106"/>
        <w:jc w:val="both"/>
      </w:pPr>
      <w:r>
        <w:rPr>
          <w:w w:val="110"/>
        </w:rPr>
        <w:t>In </w:t>
      </w:r>
      <w:r>
        <w:rPr>
          <w:w w:val="109"/>
        </w:rPr>
        <w:t>general, </w:t>
      </w:r>
      <w:r>
        <w:rPr>
          <w:w w:val="113"/>
        </w:rPr>
        <w:t>the </w:t>
      </w:r>
      <w:r>
        <w:rPr>
          <w:w w:val="110"/>
        </w:rPr>
        <w:t>origins </w:t>
      </w:r>
      <w:r>
        <w:rPr>
          <w:w w:val="105"/>
        </w:rPr>
        <w:t>of </w:t>
      </w:r>
      <w:r>
        <w:rPr>
          <w:w w:val="111"/>
        </w:rPr>
        <w:t>this </w:t>
      </w:r>
      <w:r>
        <w:rPr>
          <w:w w:val="110"/>
        </w:rPr>
        <w:t>scandal </w:t>
      </w:r>
      <w:r>
        <w:rPr>
          <w:w w:val="117"/>
        </w:rPr>
        <w:t>and </w:t>
      </w:r>
      <w:r>
        <w:rPr>
          <w:w w:val="113"/>
        </w:rPr>
        <w:t>the </w:t>
      </w:r>
      <w:r>
        <w:rPr>
          <w:w w:val="107"/>
        </w:rPr>
        <w:t>film </w:t>
      </w:r>
      <w:r>
        <w:rPr>
          <w:w w:val="106"/>
        </w:rPr>
        <w:t>lie </w:t>
      </w:r>
      <w:r>
        <w:rPr>
          <w:w w:val="110"/>
        </w:rPr>
        <w:t>in </w:t>
      </w:r>
      <w:r>
        <w:rPr>
          <w:w w:val="113"/>
        </w:rPr>
        <w:t>the </w:t>
      </w:r>
      <w:r>
        <w:rPr>
          <w:w w:val="95"/>
        </w:rPr>
        <w:t>11working </w:t>
      </w:r>
      <w:r>
        <w:rPr>
          <w:w w:val="95"/>
        </w:rPr>
        <w:t>together11 </w:t>
      </w:r>
      <w:r>
        <w:rPr>
          <w:w w:val="110"/>
        </w:rPr>
        <w:t>Alexander Chebotarev and Melkonov Chargoglyana. A huge array of insider information was issued abroad in 2012-2013. Samara lawyer Alexander Chebotarev, who worked with Pishchalnikova, Kruglyakova, Vinnichenko and Ikonnikov and collected a lot of important information. It was he who gave the material for scandalous publications in the British press regarding Melkon Chargoglyanu (Melkon Charchoglyan), British journalist of Armenian descent. Chebotarev himself does not know English language.</w:t>
      </w:r>
    </w:p>
    <w:p>
      <w:pPr>
        <w:pStyle w:val="BodyText"/>
        <w:spacing w:before="10"/>
      </w:pPr>
    </w:p>
    <w:p>
      <w:pPr>
        <w:pStyle w:val="BodyText"/>
        <w:spacing w:line="252" w:lineRule="auto"/>
        <w:ind w:left="119" w:right="109"/>
        <w:jc w:val="both"/>
      </w:pPr>
      <w:r>
        <w:rPr>
          <w:w w:val="110"/>
        </w:rPr>
        <w:t>Suggestion: start working with the Lausanne laboratory , Prof Marcel Sozhi is till working as director, and is very well related to Russia. He and his five</w:t>
      </w:r>
      <w:r>
        <w:rPr>
          <w:spacing w:val="66"/>
          <w:w w:val="110"/>
        </w:rPr>
        <w:t> </w:t>
      </w:r>
      <w:r>
        <w:rPr>
          <w:w w:val="110"/>
        </w:rPr>
        <w:t>employees  worked  in  the  Sochi  Winter  Olympics,  gave  a  positive</w:t>
      </w:r>
      <w:r>
        <w:rPr>
          <w:spacing w:val="17"/>
          <w:w w:val="110"/>
        </w:rPr>
        <w:t> </w:t>
      </w:r>
      <w:r>
        <w:rPr>
          <w:w w:val="110"/>
        </w:rPr>
        <w:t>interview</w:t>
      </w:r>
    </w:p>
    <w:p>
      <w:pPr>
        <w:spacing w:after="0" w:line="252" w:lineRule="auto"/>
        <w:jc w:val="both"/>
        <w:sectPr>
          <w:pgSz w:w="12240" w:h="15840"/>
          <w:pgMar w:header="0" w:footer="707" w:top="1500" w:bottom="900" w:left="1700" w:right="1680"/>
        </w:sectPr>
      </w:pPr>
    </w:p>
    <w:p>
      <w:pPr>
        <w:pStyle w:val="BodyText"/>
        <w:spacing w:line="252" w:lineRule="auto" w:before="16"/>
        <w:ind w:left="119" w:right="106"/>
        <w:jc w:val="both"/>
      </w:pPr>
      <w:r>
        <w:rPr>
          <w:w w:val="110"/>
        </w:rPr>
        <w:t>about our work. In his laboratory in Lausanne he stores 20,000 samples from the Olympic Games since 2000. According to Beijing (this is the closest and the biggest threat) - you need to know exactly when to start reanalysis who determines the list of samples (sports and disciplines, countries, specific persons) and what types of analysis will be carried out (all methods can not be applied, just not enough urine volume, there remains 20-30 mL total). Prof. M. Sozhi is close to many functionaries at the IOC and Medical Director Dr. Richard Badzhettu, he is the main actor in the IOC doping and</w:t>
      </w:r>
      <w:r>
        <w:rPr>
          <w:spacing w:val="-15"/>
          <w:w w:val="110"/>
        </w:rPr>
        <w:t> </w:t>
      </w:r>
      <w:r>
        <w:rPr>
          <w:w w:val="110"/>
        </w:rPr>
        <w:t>medicine.</w:t>
      </w:r>
    </w:p>
    <w:p>
      <w:pPr>
        <w:pStyle w:val="BodyText"/>
        <w:spacing w:before="4"/>
        <w:rPr>
          <w:sz w:val="25"/>
        </w:rPr>
      </w:pPr>
    </w:p>
    <w:p>
      <w:pPr>
        <w:pStyle w:val="BodyText"/>
        <w:ind w:left="119"/>
        <w:jc w:val="both"/>
      </w:pPr>
      <w:r>
        <w:rPr>
          <w:w w:val="110"/>
        </w:rPr>
        <w:t>Threats:</w:t>
      </w:r>
    </w:p>
    <w:p>
      <w:pPr>
        <w:pStyle w:val="ListParagraph"/>
        <w:numPr>
          <w:ilvl w:val="0"/>
          <w:numId w:val="32"/>
        </w:numPr>
        <w:tabs>
          <w:tab w:pos="262" w:val="left" w:leader="none"/>
        </w:tabs>
        <w:spacing w:line="249" w:lineRule="auto" w:before="12" w:after="0"/>
        <w:ind w:left="119" w:right="113" w:firstLine="0"/>
        <w:jc w:val="both"/>
        <w:rPr>
          <w:sz w:val="24"/>
        </w:rPr>
      </w:pPr>
      <w:r>
        <w:rPr>
          <w:w w:val="110"/>
          <w:sz w:val="24"/>
        </w:rPr>
        <w:t>10</w:t>
      </w:r>
      <w:r>
        <w:rPr>
          <w:spacing w:val="-8"/>
          <w:w w:val="110"/>
          <w:sz w:val="24"/>
        </w:rPr>
        <w:t> </w:t>
      </w:r>
      <w:r>
        <w:rPr>
          <w:w w:val="110"/>
          <w:sz w:val="24"/>
        </w:rPr>
        <w:t>positives</w:t>
      </w:r>
      <w:r>
        <w:rPr>
          <w:spacing w:val="-8"/>
          <w:w w:val="110"/>
          <w:sz w:val="24"/>
        </w:rPr>
        <w:t> </w:t>
      </w:r>
      <w:r>
        <w:rPr>
          <w:w w:val="110"/>
          <w:sz w:val="24"/>
        </w:rPr>
        <w:t>in</w:t>
      </w:r>
      <w:r>
        <w:rPr>
          <w:spacing w:val="-11"/>
          <w:w w:val="110"/>
          <w:sz w:val="24"/>
        </w:rPr>
        <w:t> </w:t>
      </w:r>
      <w:r>
        <w:rPr>
          <w:w w:val="110"/>
          <w:sz w:val="24"/>
        </w:rPr>
        <w:t>athletics</w:t>
      </w:r>
      <w:r>
        <w:rPr>
          <w:spacing w:val="-6"/>
          <w:w w:val="110"/>
          <w:sz w:val="24"/>
        </w:rPr>
        <w:t> </w:t>
      </w:r>
      <w:r>
        <w:rPr>
          <w:w w:val="110"/>
          <w:sz w:val="24"/>
        </w:rPr>
        <w:t>can</w:t>
      </w:r>
      <w:r>
        <w:rPr>
          <w:spacing w:val="-12"/>
          <w:w w:val="110"/>
          <w:sz w:val="24"/>
        </w:rPr>
        <w:t> </w:t>
      </w:r>
      <w:r>
        <w:rPr>
          <w:w w:val="110"/>
          <w:sz w:val="24"/>
        </w:rPr>
        <w:t>be</w:t>
      </w:r>
      <w:r>
        <w:rPr>
          <w:spacing w:val="-8"/>
          <w:w w:val="110"/>
          <w:sz w:val="24"/>
        </w:rPr>
        <w:t> </w:t>
      </w:r>
      <w:r>
        <w:rPr>
          <w:w w:val="110"/>
          <w:sz w:val="24"/>
        </w:rPr>
        <w:t>obtained,</w:t>
      </w:r>
      <w:r>
        <w:rPr>
          <w:spacing w:val="-8"/>
          <w:w w:val="110"/>
          <w:sz w:val="24"/>
        </w:rPr>
        <w:t> </w:t>
      </w:r>
      <w:r>
        <w:rPr>
          <w:w w:val="110"/>
          <w:sz w:val="24"/>
        </w:rPr>
        <w:t>plus</w:t>
      </w:r>
      <w:r>
        <w:rPr>
          <w:spacing w:val="-11"/>
          <w:w w:val="110"/>
          <w:sz w:val="24"/>
        </w:rPr>
        <w:t> </w:t>
      </w:r>
      <w:r>
        <w:rPr>
          <w:w w:val="110"/>
          <w:sz w:val="24"/>
        </w:rPr>
        <w:t>10</w:t>
      </w:r>
      <w:r>
        <w:rPr>
          <w:spacing w:val="-8"/>
          <w:w w:val="110"/>
          <w:sz w:val="24"/>
        </w:rPr>
        <w:t> </w:t>
      </w:r>
      <w:r>
        <w:rPr>
          <w:w w:val="110"/>
          <w:sz w:val="24"/>
        </w:rPr>
        <w:t>in</w:t>
      </w:r>
      <w:r>
        <w:rPr>
          <w:spacing w:val="-8"/>
          <w:w w:val="110"/>
          <w:sz w:val="24"/>
        </w:rPr>
        <w:t> </w:t>
      </w:r>
      <w:r>
        <w:rPr>
          <w:w w:val="110"/>
          <w:sz w:val="24"/>
        </w:rPr>
        <w:t>weightlifting.</w:t>
      </w:r>
      <w:r>
        <w:rPr>
          <w:spacing w:val="-8"/>
          <w:w w:val="110"/>
          <w:sz w:val="24"/>
        </w:rPr>
        <w:t> </w:t>
      </w:r>
      <w:r>
        <w:rPr>
          <w:w w:val="110"/>
          <w:sz w:val="24"/>
        </w:rPr>
        <w:t>This</w:t>
      </w:r>
      <w:r>
        <w:rPr>
          <w:spacing w:val="-6"/>
          <w:w w:val="110"/>
          <w:sz w:val="24"/>
        </w:rPr>
        <w:t> </w:t>
      </w:r>
      <w:r>
        <w:rPr>
          <w:w w:val="110"/>
          <w:sz w:val="24"/>
        </w:rPr>
        <w:t>reanalysis of</w:t>
      </w:r>
      <w:r>
        <w:rPr>
          <w:spacing w:val="-20"/>
          <w:w w:val="110"/>
          <w:sz w:val="24"/>
        </w:rPr>
        <w:t> </w:t>
      </w:r>
      <w:r>
        <w:rPr>
          <w:w w:val="110"/>
          <w:sz w:val="24"/>
        </w:rPr>
        <w:t>samples</w:t>
      </w:r>
      <w:r>
        <w:rPr>
          <w:spacing w:val="-24"/>
          <w:w w:val="110"/>
          <w:sz w:val="24"/>
        </w:rPr>
        <w:t> </w:t>
      </w:r>
      <w:r>
        <w:rPr>
          <w:w w:val="110"/>
          <w:sz w:val="24"/>
        </w:rPr>
        <w:t>Beijing</w:t>
      </w:r>
      <w:r>
        <w:rPr>
          <w:spacing w:val="-23"/>
          <w:w w:val="110"/>
          <w:sz w:val="24"/>
        </w:rPr>
        <w:t> </w:t>
      </w:r>
      <w:r>
        <w:rPr>
          <w:w w:val="110"/>
          <w:sz w:val="24"/>
        </w:rPr>
        <w:t>2008</w:t>
      </w:r>
      <w:r>
        <w:rPr>
          <w:spacing w:val="-21"/>
          <w:w w:val="110"/>
          <w:sz w:val="24"/>
        </w:rPr>
        <w:t> </w:t>
      </w:r>
      <w:r>
        <w:rPr>
          <w:w w:val="110"/>
          <w:sz w:val="24"/>
        </w:rPr>
        <w:t>samples</w:t>
      </w:r>
      <w:r>
        <w:rPr>
          <w:spacing w:val="-20"/>
          <w:w w:val="110"/>
          <w:sz w:val="24"/>
        </w:rPr>
        <w:t> </w:t>
      </w:r>
      <w:r>
        <w:rPr>
          <w:w w:val="110"/>
          <w:sz w:val="24"/>
        </w:rPr>
        <w:t>belong</w:t>
      </w:r>
      <w:r>
        <w:rPr>
          <w:spacing w:val="-22"/>
          <w:w w:val="110"/>
          <w:sz w:val="24"/>
        </w:rPr>
        <w:t> </w:t>
      </w:r>
      <w:r>
        <w:rPr>
          <w:w w:val="110"/>
          <w:sz w:val="24"/>
        </w:rPr>
        <w:t>to</w:t>
      </w:r>
      <w:r>
        <w:rPr>
          <w:spacing w:val="-18"/>
          <w:w w:val="110"/>
          <w:sz w:val="24"/>
        </w:rPr>
        <w:t> </w:t>
      </w:r>
      <w:r>
        <w:rPr>
          <w:w w:val="110"/>
          <w:sz w:val="24"/>
        </w:rPr>
        <w:t>the</w:t>
      </w:r>
      <w:r>
        <w:rPr>
          <w:spacing w:val="-21"/>
          <w:w w:val="110"/>
          <w:sz w:val="24"/>
        </w:rPr>
        <w:t> </w:t>
      </w:r>
      <w:r>
        <w:rPr>
          <w:w w:val="110"/>
          <w:sz w:val="24"/>
        </w:rPr>
        <w:t>IOC.</w:t>
      </w:r>
    </w:p>
    <w:p>
      <w:pPr>
        <w:pStyle w:val="ListParagraph"/>
        <w:numPr>
          <w:ilvl w:val="0"/>
          <w:numId w:val="32"/>
        </w:numPr>
        <w:tabs>
          <w:tab w:pos="309" w:val="left" w:leader="none"/>
        </w:tabs>
        <w:spacing w:line="252" w:lineRule="auto" w:before="1" w:after="0"/>
        <w:ind w:left="119" w:right="107" w:firstLine="0"/>
        <w:jc w:val="both"/>
        <w:rPr>
          <w:sz w:val="24"/>
        </w:rPr>
      </w:pPr>
      <w:r>
        <w:rPr>
          <w:w w:val="110"/>
          <w:sz w:val="24"/>
        </w:rPr>
        <w:t>Another 10 - 15 positive samples in athletics may arise in the reanalysis of samples with the World Championships IAAF Athletics (Helsinki 2005, Osaka in 2007, Berlin in 2011), the samples belong to the IAAF and are also stored. For unknown reasons, in 2012, was conducted sampling of Russian athletes, but he immediately made three positive results: Kuzyukova Olga and Tatyana Kotova (sample 2005), Tatyana Chernova (2009). Considering the big news on the IAAF (Seppelta film about Russian, Italian race walker Schwarzer, Jamaican sprinters and Kenyan runners), we can expect major problems</w:t>
      </w:r>
      <w:r>
        <w:rPr>
          <w:spacing w:val="-13"/>
          <w:w w:val="110"/>
          <w:sz w:val="24"/>
        </w:rPr>
        <w:t> </w:t>
      </w:r>
      <w:r>
        <w:rPr>
          <w:w w:val="110"/>
          <w:sz w:val="24"/>
        </w:rPr>
        <w:t>there.</w:t>
      </w:r>
    </w:p>
    <w:p>
      <w:pPr>
        <w:pStyle w:val="BodyText"/>
        <w:spacing w:before="4"/>
        <w:rPr>
          <w:sz w:val="25"/>
        </w:rPr>
      </w:pPr>
    </w:p>
    <w:p>
      <w:pPr>
        <w:pStyle w:val="ListParagraph"/>
        <w:numPr>
          <w:ilvl w:val="0"/>
          <w:numId w:val="32"/>
        </w:numPr>
        <w:tabs>
          <w:tab w:pos="264" w:val="left" w:leader="none"/>
        </w:tabs>
        <w:spacing w:line="249" w:lineRule="auto" w:before="0" w:after="0"/>
        <w:ind w:left="119" w:right="108" w:firstLine="0"/>
        <w:jc w:val="both"/>
        <w:rPr>
          <w:sz w:val="24"/>
        </w:rPr>
      </w:pPr>
      <w:r>
        <w:rPr>
          <w:w w:val="110"/>
          <w:sz w:val="24"/>
        </w:rPr>
        <w:t>For at least another five of Chegin's walkers will be disqualified for Rio in 2016 for the biological</w:t>
      </w:r>
      <w:r>
        <w:rPr>
          <w:spacing w:val="-25"/>
          <w:w w:val="110"/>
          <w:sz w:val="24"/>
        </w:rPr>
        <w:t> </w:t>
      </w:r>
      <w:r>
        <w:rPr>
          <w:w w:val="110"/>
          <w:sz w:val="24"/>
        </w:rPr>
        <w:t>passport.</w:t>
      </w:r>
    </w:p>
    <w:p>
      <w:pPr>
        <w:pStyle w:val="ListParagraph"/>
        <w:numPr>
          <w:ilvl w:val="0"/>
          <w:numId w:val="32"/>
        </w:numPr>
        <w:tabs>
          <w:tab w:pos="339" w:val="left" w:leader="none"/>
        </w:tabs>
        <w:spacing w:line="252" w:lineRule="auto" w:before="1" w:after="0"/>
        <w:ind w:left="119" w:right="105" w:firstLine="0"/>
        <w:jc w:val="both"/>
        <w:rPr>
          <w:sz w:val="24"/>
        </w:rPr>
      </w:pPr>
      <w:r>
        <w:rPr>
          <w:w w:val="110"/>
          <w:sz w:val="24"/>
        </w:rPr>
        <w:t>In 2015 came into force a new version of the World Anti-Doping Code, according to which the WADA may, at its discretion, open any sample</w:t>
      </w:r>
      <w:r>
        <w:rPr>
          <w:spacing w:val="66"/>
          <w:w w:val="110"/>
          <w:sz w:val="24"/>
        </w:rPr>
        <w:t> </w:t>
      </w:r>
      <w:r>
        <w:rPr>
          <w:w w:val="110"/>
          <w:sz w:val="24"/>
        </w:rPr>
        <w:t>anywhere, including the opening and selection of an aliquot of sample B (as directed by WADA it made in 2013 with the samples and Tomasheva Kapachinskaya but the decision of the IAAF did not accept them, citing a violation of the integrity of the sample vial and without notice to the athlete. From</w:t>
      </w:r>
      <w:r>
        <w:rPr>
          <w:spacing w:val="-21"/>
          <w:w w:val="110"/>
          <w:sz w:val="24"/>
        </w:rPr>
        <w:t> </w:t>
      </w:r>
      <w:r>
        <w:rPr>
          <w:w w:val="110"/>
          <w:sz w:val="24"/>
        </w:rPr>
        <w:t>2015</w:t>
      </w:r>
      <w:r>
        <w:rPr>
          <w:spacing w:val="-19"/>
          <w:w w:val="110"/>
          <w:sz w:val="24"/>
        </w:rPr>
        <w:t> </w:t>
      </w:r>
      <w:r>
        <w:rPr>
          <w:w w:val="110"/>
          <w:sz w:val="24"/>
        </w:rPr>
        <w:t>already</w:t>
      </w:r>
      <w:r>
        <w:rPr>
          <w:spacing w:val="-20"/>
          <w:w w:val="110"/>
          <w:sz w:val="24"/>
        </w:rPr>
        <w:t> </w:t>
      </w:r>
      <w:r>
        <w:rPr>
          <w:w w:val="110"/>
          <w:sz w:val="24"/>
        </w:rPr>
        <w:t>notification</w:t>
      </w:r>
      <w:r>
        <w:rPr>
          <w:spacing w:val="-18"/>
          <w:w w:val="110"/>
          <w:sz w:val="24"/>
        </w:rPr>
        <w:t> </w:t>
      </w:r>
      <w:r>
        <w:rPr>
          <w:w w:val="110"/>
          <w:sz w:val="24"/>
        </w:rPr>
        <w:t>is</w:t>
      </w:r>
      <w:r>
        <w:rPr>
          <w:spacing w:val="-19"/>
          <w:w w:val="110"/>
          <w:sz w:val="24"/>
        </w:rPr>
        <w:t> </w:t>
      </w:r>
      <w:r>
        <w:rPr>
          <w:w w:val="110"/>
          <w:sz w:val="24"/>
        </w:rPr>
        <w:t>not</w:t>
      </w:r>
      <w:r>
        <w:rPr>
          <w:spacing w:val="-19"/>
          <w:w w:val="110"/>
          <w:sz w:val="24"/>
        </w:rPr>
        <w:t> </w:t>
      </w:r>
      <w:r>
        <w:rPr>
          <w:w w:val="110"/>
          <w:sz w:val="24"/>
        </w:rPr>
        <w:t>necessary.).</w:t>
      </w:r>
    </w:p>
    <w:p>
      <w:pPr>
        <w:pStyle w:val="ListParagraph"/>
        <w:numPr>
          <w:ilvl w:val="0"/>
          <w:numId w:val="32"/>
        </w:numPr>
        <w:tabs>
          <w:tab w:pos="264" w:val="left" w:leader="none"/>
        </w:tabs>
        <w:spacing w:line="252" w:lineRule="auto" w:before="0" w:after="0"/>
        <w:ind w:left="119" w:right="109" w:firstLine="0"/>
        <w:jc w:val="both"/>
        <w:rPr>
          <w:sz w:val="24"/>
        </w:rPr>
      </w:pPr>
      <w:r>
        <w:rPr>
          <w:w w:val="110"/>
          <w:sz w:val="24"/>
        </w:rPr>
        <w:t>In</w:t>
      </w:r>
      <w:r>
        <w:rPr>
          <w:spacing w:val="-6"/>
          <w:w w:val="110"/>
          <w:sz w:val="24"/>
        </w:rPr>
        <w:t> </w:t>
      </w:r>
      <w:r>
        <w:rPr>
          <w:w w:val="110"/>
          <w:sz w:val="24"/>
        </w:rPr>
        <w:t>connection</w:t>
      </w:r>
      <w:r>
        <w:rPr>
          <w:spacing w:val="-5"/>
          <w:w w:val="110"/>
          <w:sz w:val="24"/>
        </w:rPr>
        <w:t> </w:t>
      </w:r>
      <w:r>
        <w:rPr>
          <w:w w:val="110"/>
          <w:sz w:val="24"/>
        </w:rPr>
        <w:t>with</w:t>
      </w:r>
      <w:r>
        <w:rPr>
          <w:spacing w:val="-7"/>
          <w:w w:val="110"/>
          <w:sz w:val="24"/>
        </w:rPr>
        <w:t> </w:t>
      </w:r>
      <w:r>
        <w:rPr>
          <w:w w:val="110"/>
          <w:sz w:val="24"/>
        </w:rPr>
        <w:t>the</w:t>
      </w:r>
      <w:r>
        <w:rPr>
          <w:spacing w:val="-6"/>
          <w:w w:val="110"/>
          <w:sz w:val="24"/>
        </w:rPr>
        <w:t> </w:t>
      </w:r>
      <w:r>
        <w:rPr>
          <w:w w:val="110"/>
          <w:sz w:val="24"/>
        </w:rPr>
        <w:t>film,</w:t>
      </w:r>
      <w:r>
        <w:rPr>
          <w:spacing w:val="-6"/>
          <w:w w:val="110"/>
          <w:sz w:val="24"/>
        </w:rPr>
        <w:t> </w:t>
      </w:r>
      <w:r>
        <w:rPr>
          <w:w w:val="110"/>
          <w:sz w:val="24"/>
        </w:rPr>
        <w:t>WADA</w:t>
      </w:r>
      <w:r>
        <w:rPr>
          <w:spacing w:val="-6"/>
          <w:w w:val="110"/>
          <w:sz w:val="24"/>
        </w:rPr>
        <w:t> </w:t>
      </w:r>
      <w:r>
        <w:rPr>
          <w:w w:val="110"/>
          <w:sz w:val="24"/>
        </w:rPr>
        <w:t>immediately</w:t>
      </w:r>
      <w:r>
        <w:rPr>
          <w:spacing w:val="-4"/>
          <w:w w:val="110"/>
          <w:sz w:val="24"/>
        </w:rPr>
        <w:t> </w:t>
      </w:r>
      <w:r>
        <w:rPr>
          <w:w w:val="110"/>
          <w:sz w:val="24"/>
        </w:rPr>
        <w:t>came</w:t>
      </w:r>
      <w:r>
        <w:rPr>
          <w:spacing w:val="-6"/>
          <w:w w:val="110"/>
          <w:sz w:val="24"/>
        </w:rPr>
        <w:t> </w:t>
      </w:r>
      <w:r>
        <w:rPr>
          <w:w w:val="110"/>
          <w:sz w:val="24"/>
        </w:rPr>
        <w:t>to</w:t>
      </w:r>
      <w:r>
        <w:rPr>
          <w:spacing w:val="-6"/>
          <w:w w:val="110"/>
          <w:sz w:val="24"/>
        </w:rPr>
        <w:t> </w:t>
      </w:r>
      <w:r>
        <w:rPr>
          <w:w w:val="110"/>
          <w:sz w:val="24"/>
        </w:rPr>
        <w:t>Moscow</w:t>
      </w:r>
      <w:r>
        <w:rPr>
          <w:spacing w:val="-1"/>
          <w:w w:val="110"/>
          <w:sz w:val="24"/>
        </w:rPr>
        <w:t> </w:t>
      </w:r>
      <w:r>
        <w:rPr>
          <w:w w:val="110"/>
          <w:sz w:val="24"/>
        </w:rPr>
        <w:t>in</w:t>
      </w:r>
      <w:r>
        <w:rPr>
          <w:spacing w:val="-4"/>
          <w:w w:val="110"/>
          <w:sz w:val="24"/>
        </w:rPr>
        <w:t> </w:t>
      </w:r>
      <w:r>
        <w:rPr>
          <w:w w:val="110"/>
          <w:sz w:val="24"/>
        </w:rPr>
        <w:t>December 2014 for an inspection, it took to Lausanne in 2912 samples and 714 sealed (arrested) boxes to send over. It could happen again, which makes the situation more</w:t>
      </w:r>
      <w:r>
        <w:rPr>
          <w:spacing w:val="23"/>
          <w:w w:val="110"/>
          <w:sz w:val="24"/>
        </w:rPr>
        <w:t> </w:t>
      </w:r>
      <w:r>
        <w:rPr>
          <w:w w:val="110"/>
          <w:sz w:val="24"/>
        </w:rPr>
        <w:t>unpredictable.</w:t>
      </w:r>
    </w:p>
    <w:p>
      <w:pPr>
        <w:pStyle w:val="BodyText"/>
        <w:spacing w:before="4"/>
        <w:rPr>
          <w:sz w:val="25"/>
        </w:rPr>
      </w:pPr>
    </w:p>
    <w:p>
      <w:pPr>
        <w:pStyle w:val="ListParagraph"/>
        <w:numPr>
          <w:ilvl w:val="0"/>
          <w:numId w:val="31"/>
        </w:numPr>
        <w:tabs>
          <w:tab w:pos="359" w:val="left" w:leader="none"/>
        </w:tabs>
        <w:spacing w:line="240" w:lineRule="auto" w:before="0" w:after="0"/>
        <w:ind w:left="358" w:right="0" w:hanging="239"/>
        <w:jc w:val="both"/>
        <w:rPr>
          <w:sz w:val="24"/>
        </w:rPr>
      </w:pPr>
      <w:r>
        <w:rPr>
          <w:w w:val="110"/>
          <w:sz w:val="24"/>
        </w:rPr>
        <w:t>Present</w:t>
      </w:r>
      <w:r>
        <w:rPr>
          <w:spacing w:val="13"/>
          <w:w w:val="110"/>
          <w:sz w:val="24"/>
        </w:rPr>
        <w:t> </w:t>
      </w:r>
      <w:r>
        <w:rPr>
          <w:w w:val="110"/>
          <w:sz w:val="24"/>
        </w:rPr>
        <w:t>problems</w:t>
      </w:r>
    </w:p>
    <w:p>
      <w:pPr>
        <w:pStyle w:val="BodyText"/>
        <w:spacing w:line="252" w:lineRule="auto" w:before="12"/>
        <w:ind w:left="119" w:right="107"/>
        <w:jc w:val="both"/>
      </w:pPr>
      <w:r>
        <w:rPr>
          <w:w w:val="110"/>
        </w:rPr>
        <w:t>VFLA has no unified command, divided, President VV Balahnichev cleared out all around him, and now it is impossible to find a replacement. He skillfully uses it, nobody obeying and practicing total lies and misinformation in the press in operational issues (Mutko). Tatyana Lebedeva, considered as his possible replacement, very problematic at the moment, since her tests from 2005 - 2009 years may be now be analyzed at any time and it will repeat the fate Kaniskina.</w:t>
      </w:r>
    </w:p>
    <w:p>
      <w:pPr>
        <w:spacing w:after="0" w:line="252" w:lineRule="auto"/>
        <w:jc w:val="both"/>
        <w:sectPr>
          <w:pgSz w:w="12240" w:h="15840"/>
          <w:pgMar w:header="0" w:footer="707" w:top="1440" w:bottom="900" w:left="1700" w:right="1680"/>
        </w:sectPr>
      </w:pPr>
    </w:p>
    <w:p>
      <w:pPr>
        <w:pStyle w:val="BodyText"/>
        <w:spacing w:line="252" w:lineRule="auto" w:before="16"/>
        <w:ind w:left="119" w:right="106"/>
        <w:jc w:val="both"/>
      </w:pPr>
      <w:r>
        <w:rPr>
          <w:w w:val="110"/>
        </w:rPr>
        <w:t>In athletics, from youth to veterans Intense and uninventive doping is still going, and neither athletes nor coaches know how to prepare without it and exercise. Here the film, of course, got to the point. Disqualification of Olympic champions in London in 2012 and the loss of two gold medals - in the women's 3000 meters steeplechase Yulia Zaripova and walking 50 km Sergei Kirdyapkin disqualification walkers, world champions and medalists Olympics Olga Kaniskina Valeria Borchina, Sergey Bakulin Vladimir Kanaikina (all walking - Cheginskaya this group, 23 in Chegin unqualified student), Tatyana Chernova (heptathlon) - such a collapse has never happened before. But this is not the machinations of the West, Westerners themselves as best they could have tried to smooth over the situation amicably and confidentially warned  Balahnichev</w:t>
      </w:r>
      <w:r>
        <w:rPr>
          <w:spacing w:val="66"/>
          <w:w w:val="110"/>
        </w:rPr>
        <w:t> </w:t>
      </w:r>
      <w:r>
        <w:rPr>
          <w:w w:val="110"/>
        </w:rPr>
        <w:t>many years, and politely tolerated it, but he even made all the walkers go to the Olympic Games in London. But it was not taken as a warning, and then affects at all, Chegin he verbally agrees , but then he stabbed both injections of erythropoietin to all in a row, and continues. And it continues - in Chegin at least another</w:t>
      </w:r>
      <w:r>
        <w:rPr>
          <w:spacing w:val="-9"/>
          <w:w w:val="110"/>
        </w:rPr>
        <w:t> </w:t>
      </w:r>
      <w:r>
        <w:rPr>
          <w:w w:val="110"/>
        </w:rPr>
        <w:t>five</w:t>
      </w:r>
      <w:r>
        <w:rPr>
          <w:spacing w:val="-10"/>
          <w:w w:val="110"/>
        </w:rPr>
        <w:t> </w:t>
      </w:r>
      <w:r>
        <w:rPr>
          <w:w w:val="110"/>
        </w:rPr>
        <w:t>walkers</w:t>
      </w:r>
      <w:r>
        <w:rPr>
          <w:spacing w:val="-7"/>
          <w:w w:val="110"/>
        </w:rPr>
        <w:t> </w:t>
      </w:r>
      <w:r>
        <w:rPr>
          <w:w w:val="110"/>
        </w:rPr>
        <w:t>will</w:t>
      </w:r>
      <w:r>
        <w:rPr>
          <w:spacing w:val="-9"/>
          <w:w w:val="110"/>
        </w:rPr>
        <w:t> </w:t>
      </w:r>
      <w:r>
        <w:rPr>
          <w:w w:val="110"/>
        </w:rPr>
        <w:t>be</w:t>
      </w:r>
      <w:r>
        <w:rPr>
          <w:spacing w:val="-11"/>
          <w:w w:val="110"/>
        </w:rPr>
        <w:t> </w:t>
      </w:r>
      <w:r>
        <w:rPr>
          <w:w w:val="110"/>
        </w:rPr>
        <w:t>disqualified</w:t>
      </w:r>
      <w:r>
        <w:rPr>
          <w:spacing w:val="-6"/>
          <w:w w:val="110"/>
        </w:rPr>
        <w:t> </w:t>
      </w:r>
      <w:r>
        <w:rPr>
          <w:w w:val="110"/>
        </w:rPr>
        <w:t>before</w:t>
      </w:r>
      <w:r>
        <w:rPr>
          <w:spacing w:val="-9"/>
          <w:w w:val="110"/>
        </w:rPr>
        <w:t> </w:t>
      </w:r>
      <w:r>
        <w:rPr>
          <w:w w:val="110"/>
        </w:rPr>
        <w:t>Rio.</w:t>
      </w:r>
    </w:p>
    <w:p>
      <w:pPr>
        <w:pStyle w:val="BodyText"/>
        <w:spacing w:before="4"/>
        <w:rPr>
          <w:sz w:val="25"/>
        </w:rPr>
      </w:pPr>
    </w:p>
    <w:p>
      <w:pPr>
        <w:pStyle w:val="BodyText"/>
        <w:spacing w:line="252" w:lineRule="auto"/>
        <w:ind w:left="119" w:right="107"/>
        <w:jc w:val="both"/>
      </w:pPr>
      <w:r>
        <w:rPr>
          <w:w w:val="110"/>
        </w:rPr>
        <w:t>After</w:t>
      </w:r>
      <w:r>
        <w:rPr>
          <w:spacing w:val="-12"/>
          <w:w w:val="110"/>
        </w:rPr>
        <w:t> </w:t>
      </w:r>
      <w:r>
        <w:rPr>
          <w:w w:val="110"/>
        </w:rPr>
        <w:t>he</w:t>
      </w:r>
      <w:r>
        <w:rPr>
          <w:spacing w:val="-12"/>
          <w:w w:val="110"/>
        </w:rPr>
        <w:t> </w:t>
      </w:r>
      <w:r>
        <w:rPr>
          <w:w w:val="110"/>
        </w:rPr>
        <w:t>spent</w:t>
      </w:r>
      <w:r>
        <w:rPr>
          <w:spacing w:val="-12"/>
          <w:w w:val="110"/>
        </w:rPr>
        <w:t> </w:t>
      </w:r>
      <w:r>
        <w:rPr>
          <w:w w:val="110"/>
        </w:rPr>
        <w:t>a</w:t>
      </w:r>
      <w:r>
        <w:rPr>
          <w:spacing w:val="-12"/>
          <w:w w:val="110"/>
        </w:rPr>
        <w:t> </w:t>
      </w:r>
      <w:r>
        <w:rPr>
          <w:w w:val="110"/>
        </w:rPr>
        <w:t>competition</w:t>
      </w:r>
      <w:r>
        <w:rPr>
          <w:spacing w:val="-12"/>
          <w:w w:val="110"/>
        </w:rPr>
        <w:t> </w:t>
      </w:r>
      <w:r>
        <w:rPr>
          <w:w w:val="110"/>
        </w:rPr>
        <w:t>December</w:t>
      </w:r>
      <w:r>
        <w:rPr>
          <w:spacing w:val="-12"/>
          <w:w w:val="110"/>
        </w:rPr>
        <w:t> </w:t>
      </w:r>
      <w:r>
        <w:rPr>
          <w:w w:val="110"/>
        </w:rPr>
        <w:t>30,</w:t>
      </w:r>
      <w:r>
        <w:rPr>
          <w:spacing w:val="-12"/>
          <w:w w:val="110"/>
        </w:rPr>
        <w:t> </w:t>
      </w:r>
      <w:r>
        <w:rPr>
          <w:w w:val="110"/>
        </w:rPr>
        <w:t>2014</w:t>
      </w:r>
      <w:r>
        <w:rPr>
          <w:spacing w:val="-12"/>
          <w:w w:val="110"/>
        </w:rPr>
        <w:t> </w:t>
      </w:r>
      <w:r>
        <w:rPr>
          <w:w w:val="110"/>
        </w:rPr>
        <w:t>in</w:t>
      </w:r>
      <w:r>
        <w:rPr>
          <w:spacing w:val="-12"/>
          <w:w w:val="110"/>
        </w:rPr>
        <w:t> </w:t>
      </w:r>
      <w:r>
        <w:rPr>
          <w:w w:val="110"/>
        </w:rPr>
        <w:t>Saransk</w:t>
      </w:r>
      <w:r>
        <w:rPr>
          <w:spacing w:val="-12"/>
          <w:w w:val="110"/>
        </w:rPr>
        <w:t> </w:t>
      </w:r>
      <w:r>
        <w:rPr>
          <w:w w:val="110"/>
        </w:rPr>
        <w:t>involving</w:t>
      </w:r>
      <w:r>
        <w:rPr>
          <w:spacing w:val="-10"/>
          <w:w w:val="110"/>
        </w:rPr>
        <w:t> </w:t>
      </w:r>
      <w:r>
        <w:rPr>
          <w:w w:val="110"/>
        </w:rPr>
        <w:t>disqualified Lashmanova and Bakulin, and it became known in the West - that is, the threat that all Saransk walkers will be excluded from the Olympic Games and World Championships for four years. Chegin received a lifetime ban - but he does not care, he has earned and may lead a quiet life. In Saransk Chegin is completely invulnerable, he works together with the Minister of Sports of Mordovia, Vladimir Gavrilovich Kireyev, and their common protector general of the FSB Alexander Bragin, from</w:t>
      </w:r>
      <w:r>
        <w:rPr>
          <w:spacing w:val="-39"/>
          <w:w w:val="110"/>
        </w:rPr>
        <w:t> </w:t>
      </w:r>
      <w:r>
        <w:rPr>
          <w:w w:val="110"/>
        </w:rPr>
        <w:t>Mordovia.</w:t>
      </w:r>
    </w:p>
    <w:p>
      <w:pPr>
        <w:pStyle w:val="BodyText"/>
        <w:rPr>
          <w:sz w:val="25"/>
        </w:rPr>
      </w:pPr>
    </w:p>
    <w:p>
      <w:pPr>
        <w:pStyle w:val="BodyText"/>
        <w:spacing w:line="252" w:lineRule="auto"/>
        <w:ind w:left="119" w:right="108"/>
        <w:jc w:val="both"/>
      </w:pPr>
      <w:r>
        <w:rPr>
          <w:w w:val="110"/>
        </w:rPr>
        <w:t>What is very annoying to IAAF and WADA - disqualified athletes will still go to training camp with decorated coaches and masseurs team, involved in  the</w:t>
      </w:r>
      <w:r>
        <w:rPr>
          <w:spacing w:val="66"/>
          <w:w w:val="110"/>
        </w:rPr>
        <w:t> </w:t>
      </w:r>
      <w:r>
        <w:rPr>
          <w:w w:val="110"/>
        </w:rPr>
        <w:t>control training, get their equipment and keep the pay in their places such as active athletes. Because of them all may suffer, all athletics, it is a direct</w:t>
      </w:r>
      <w:r>
        <w:rPr>
          <w:spacing w:val="-43"/>
          <w:w w:val="110"/>
        </w:rPr>
        <w:t> </w:t>
      </w:r>
      <w:r>
        <w:rPr>
          <w:w w:val="110"/>
        </w:rPr>
        <w:t>violation of the WADA Code, the disqualified athletes suspended and have to train themselves at</w:t>
      </w:r>
      <w:r>
        <w:rPr>
          <w:spacing w:val="-5"/>
          <w:w w:val="110"/>
        </w:rPr>
        <w:t> </w:t>
      </w:r>
      <w:r>
        <w:rPr>
          <w:w w:val="110"/>
        </w:rPr>
        <w:t>home.</w:t>
      </w:r>
    </w:p>
    <w:p>
      <w:pPr>
        <w:pStyle w:val="BodyText"/>
        <w:spacing w:before="10"/>
      </w:pPr>
    </w:p>
    <w:p>
      <w:pPr>
        <w:pStyle w:val="ListParagraph"/>
        <w:numPr>
          <w:ilvl w:val="0"/>
          <w:numId w:val="31"/>
        </w:numPr>
        <w:tabs>
          <w:tab w:pos="358" w:val="left" w:leader="none"/>
        </w:tabs>
        <w:spacing w:line="240" w:lineRule="auto" w:before="0" w:after="0"/>
        <w:ind w:left="357" w:right="0" w:hanging="238"/>
        <w:jc w:val="both"/>
        <w:rPr>
          <w:sz w:val="24"/>
        </w:rPr>
      </w:pPr>
      <w:r>
        <w:rPr>
          <w:w w:val="110"/>
          <w:sz w:val="24"/>
        </w:rPr>
        <w:t>Bleak</w:t>
      </w:r>
      <w:r>
        <w:rPr>
          <w:spacing w:val="-24"/>
          <w:w w:val="110"/>
          <w:sz w:val="24"/>
        </w:rPr>
        <w:t> </w:t>
      </w:r>
      <w:r>
        <w:rPr>
          <w:w w:val="110"/>
          <w:sz w:val="24"/>
        </w:rPr>
        <w:t>Future</w:t>
      </w:r>
    </w:p>
    <w:p>
      <w:pPr>
        <w:pStyle w:val="BodyText"/>
        <w:spacing w:line="254" w:lineRule="auto" w:before="12"/>
        <w:ind w:left="119" w:right="111"/>
        <w:jc w:val="both"/>
      </w:pPr>
      <w:r>
        <w:rPr>
          <w:w w:val="110"/>
        </w:rPr>
        <w:t>The hardest part ahead. All Russian walkers may disqualify for four years. They will constantly be tested in all possible ways.</w:t>
      </w:r>
    </w:p>
    <w:p>
      <w:pPr>
        <w:pStyle w:val="BodyText"/>
        <w:spacing w:line="252" w:lineRule="auto"/>
        <w:ind w:left="119" w:right="106"/>
        <w:jc w:val="both"/>
      </w:pPr>
      <w:r>
        <w:rPr>
          <w:w w:val="110"/>
        </w:rPr>
        <w:t>Precompetitive</w:t>
      </w:r>
      <w:r>
        <w:rPr>
          <w:spacing w:val="-10"/>
          <w:w w:val="110"/>
        </w:rPr>
        <w:t> </w:t>
      </w:r>
      <w:r>
        <w:rPr>
          <w:w w:val="110"/>
        </w:rPr>
        <w:t>testing</w:t>
      </w:r>
      <w:r>
        <w:rPr>
          <w:spacing w:val="-12"/>
          <w:w w:val="110"/>
        </w:rPr>
        <w:t> </w:t>
      </w:r>
      <w:r>
        <w:rPr>
          <w:w w:val="110"/>
        </w:rPr>
        <w:t>before</w:t>
      </w:r>
      <w:r>
        <w:rPr>
          <w:spacing w:val="-8"/>
          <w:w w:val="110"/>
        </w:rPr>
        <w:t> </w:t>
      </w:r>
      <w:r>
        <w:rPr>
          <w:w w:val="110"/>
        </w:rPr>
        <w:t>the</w:t>
      </w:r>
      <w:r>
        <w:rPr>
          <w:spacing w:val="-10"/>
          <w:w w:val="110"/>
        </w:rPr>
        <w:t> </w:t>
      </w:r>
      <w:r>
        <w:rPr>
          <w:w w:val="110"/>
        </w:rPr>
        <w:t>Olympics</w:t>
      </w:r>
      <w:r>
        <w:rPr>
          <w:spacing w:val="-12"/>
          <w:w w:val="110"/>
        </w:rPr>
        <w:t> </w:t>
      </w:r>
      <w:r>
        <w:rPr>
          <w:w w:val="110"/>
        </w:rPr>
        <w:t>in</w:t>
      </w:r>
      <w:r>
        <w:rPr>
          <w:spacing w:val="-9"/>
          <w:w w:val="110"/>
        </w:rPr>
        <w:t> </w:t>
      </w:r>
      <w:r>
        <w:rPr>
          <w:w w:val="110"/>
        </w:rPr>
        <w:t>2016</w:t>
      </w:r>
      <w:r>
        <w:rPr>
          <w:spacing w:val="-10"/>
          <w:w w:val="110"/>
        </w:rPr>
        <w:t> </w:t>
      </w:r>
      <w:r>
        <w:rPr>
          <w:w w:val="110"/>
        </w:rPr>
        <w:t>in</w:t>
      </w:r>
      <w:r>
        <w:rPr>
          <w:spacing w:val="-12"/>
          <w:w w:val="110"/>
        </w:rPr>
        <w:t> </w:t>
      </w:r>
      <w:r>
        <w:rPr>
          <w:w w:val="110"/>
        </w:rPr>
        <w:t>Rio</w:t>
      </w:r>
      <w:r>
        <w:rPr>
          <w:spacing w:val="-10"/>
          <w:w w:val="110"/>
        </w:rPr>
        <w:t> </w:t>
      </w:r>
      <w:r>
        <w:rPr>
          <w:w w:val="110"/>
        </w:rPr>
        <w:t>de</w:t>
      </w:r>
      <w:r>
        <w:rPr>
          <w:spacing w:val="-10"/>
          <w:w w:val="110"/>
        </w:rPr>
        <w:t> </w:t>
      </w:r>
      <w:r>
        <w:rPr>
          <w:w w:val="110"/>
        </w:rPr>
        <w:t>Janeiro</w:t>
      </w:r>
      <w:r>
        <w:rPr>
          <w:spacing w:val="-8"/>
          <w:w w:val="110"/>
        </w:rPr>
        <w:t> </w:t>
      </w:r>
      <w:r>
        <w:rPr>
          <w:w w:val="110"/>
        </w:rPr>
        <w:t>will</w:t>
      </w:r>
      <w:r>
        <w:rPr>
          <w:spacing w:val="-9"/>
          <w:w w:val="110"/>
        </w:rPr>
        <w:t> </w:t>
      </w:r>
      <w:r>
        <w:rPr>
          <w:w w:val="110"/>
        </w:rPr>
        <w:t>not</w:t>
      </w:r>
      <w:r>
        <w:rPr>
          <w:spacing w:val="-10"/>
          <w:w w:val="110"/>
        </w:rPr>
        <w:t> </w:t>
      </w:r>
      <w:r>
        <w:rPr>
          <w:w w:val="110"/>
        </w:rPr>
        <w:t>start on the eve of the Games (from the date of opening of the Olympic Village), and for many months before the Games, from January 2016. Testing by the IOC line, the IAAF and WADA will likely keep gaining momentum. German</w:t>
      </w:r>
      <w:r>
        <w:rPr>
          <w:spacing w:val="66"/>
          <w:w w:val="110"/>
        </w:rPr>
        <w:t> </w:t>
      </w:r>
      <w:r>
        <w:rPr>
          <w:w w:val="110"/>
        </w:rPr>
        <w:t>organizations will be testing - PWC (Alex Kirbihler, Munich) and GQS (Michael Jablonski, Stuttgart). They will replace the loss of confidence in the Swedish company IDTM. In practice, this means that on the territory of Russia it will be unpredictable (and this is the basic requirement of the WADA to </w:t>
      </w:r>
      <w:r>
        <w:rPr>
          <w:spacing w:val="47"/>
          <w:w w:val="110"/>
        </w:rPr>
        <w:t> </w:t>
      </w:r>
      <w:r>
        <w:rPr>
          <w:w w:val="110"/>
        </w:rPr>
        <w:t>precompetitive</w:t>
      </w:r>
    </w:p>
    <w:p>
      <w:pPr>
        <w:pStyle w:val="BodyText"/>
        <w:rPr>
          <w:sz w:val="20"/>
        </w:rPr>
      </w:pPr>
    </w:p>
    <w:p>
      <w:pPr>
        <w:pStyle w:val="BodyText"/>
        <w:rPr>
          <w:sz w:val="20"/>
        </w:rPr>
      </w:pPr>
    </w:p>
    <w:p>
      <w:pPr>
        <w:pStyle w:val="BodyText"/>
        <w:spacing w:before="5"/>
        <w:rPr>
          <w:sz w:val="21"/>
        </w:rPr>
      </w:pPr>
      <w:r>
        <w:rPr/>
        <w:drawing>
          <wp:anchor distT="0" distB="0" distL="0" distR="0" allowOverlap="1" layoutInCell="1" locked="0" behindDoc="0" simplePos="0" relativeHeight="1888">
            <wp:simplePos x="0" y="0"/>
            <wp:positionH relativeFrom="page">
              <wp:posOffset>6481571</wp:posOffset>
            </wp:positionH>
            <wp:positionV relativeFrom="paragraph">
              <wp:posOffset>181632</wp:posOffset>
            </wp:positionV>
            <wp:extent cx="153366" cy="104775"/>
            <wp:effectExtent l="0" t="0" r="0" b="0"/>
            <wp:wrapTopAndBottom/>
            <wp:docPr id="53" name="image105.png" descr=""/>
            <wp:cNvGraphicFramePr>
              <a:graphicFrameLocks noChangeAspect="1"/>
            </wp:cNvGraphicFramePr>
            <a:graphic>
              <a:graphicData uri="http://schemas.openxmlformats.org/drawingml/2006/picture">
                <pic:pic>
                  <pic:nvPicPr>
                    <pic:cNvPr id="54" name="image105.png"/>
                    <pic:cNvPicPr/>
                  </pic:nvPicPr>
                  <pic:blipFill>
                    <a:blip r:embed="rId145" cstate="print"/>
                    <a:stretch>
                      <a:fillRect/>
                    </a:stretch>
                  </pic:blipFill>
                  <pic:spPr>
                    <a:xfrm>
                      <a:off x="0" y="0"/>
                      <a:ext cx="153366" cy="104775"/>
                    </a:xfrm>
                    <a:prstGeom prst="rect">
                      <a:avLst/>
                    </a:prstGeom>
                  </pic:spPr>
                </pic:pic>
              </a:graphicData>
            </a:graphic>
          </wp:anchor>
        </w:drawing>
      </w:r>
    </w:p>
    <w:p>
      <w:pPr>
        <w:spacing w:after="0"/>
        <w:rPr>
          <w:sz w:val="21"/>
        </w:rPr>
        <w:sectPr>
          <w:footerReference w:type="default" r:id="rId144"/>
          <w:pgSz w:w="12240" w:h="15840"/>
          <w:pgMar w:footer="0" w:header="0" w:top="1440" w:bottom="280" w:left="1700" w:right="1680"/>
        </w:sectPr>
      </w:pPr>
    </w:p>
    <w:p>
      <w:pPr>
        <w:pStyle w:val="BodyText"/>
        <w:spacing w:line="252" w:lineRule="auto" w:before="16"/>
        <w:ind w:left="119" w:right="108"/>
        <w:jc w:val="both"/>
      </w:pPr>
      <w:r>
        <w:rPr>
          <w:w w:val="110"/>
        </w:rPr>
        <w:t>testing) work two structures, suddenly ready to select a sample from any athlete and send it abroad. That is, RUSADA and FSUE ADC will not be selected and not receive an analysis of the sample of some of the top athletes (weightlifters and walkers for sure), and the whole experience of a successful Olympics in Sochi can not be applied. With the PWC has good contacts and positive experience</w:t>
      </w:r>
      <w:r>
        <w:rPr>
          <w:spacing w:val="-14"/>
          <w:w w:val="110"/>
        </w:rPr>
        <w:t> </w:t>
      </w:r>
      <w:r>
        <w:rPr>
          <w:w w:val="110"/>
        </w:rPr>
        <w:t>of</w:t>
      </w:r>
      <w:r>
        <w:rPr>
          <w:spacing w:val="-14"/>
          <w:w w:val="110"/>
        </w:rPr>
        <w:t> </w:t>
      </w:r>
      <w:r>
        <w:rPr>
          <w:w w:val="110"/>
        </w:rPr>
        <w:t>working</w:t>
      </w:r>
      <w:r>
        <w:rPr>
          <w:spacing w:val="-14"/>
          <w:w w:val="110"/>
        </w:rPr>
        <w:t> </w:t>
      </w:r>
      <w:r>
        <w:rPr>
          <w:w w:val="110"/>
        </w:rPr>
        <w:t>together</w:t>
      </w:r>
      <w:r>
        <w:rPr>
          <w:spacing w:val="-14"/>
          <w:w w:val="110"/>
        </w:rPr>
        <w:t> </w:t>
      </w:r>
      <w:r>
        <w:rPr>
          <w:w w:val="110"/>
        </w:rPr>
        <w:t>to</w:t>
      </w:r>
      <w:r>
        <w:rPr>
          <w:spacing w:val="-11"/>
          <w:w w:val="110"/>
        </w:rPr>
        <w:t> </w:t>
      </w:r>
      <w:r>
        <w:rPr>
          <w:w w:val="110"/>
        </w:rPr>
        <w:t>FIS</w:t>
      </w:r>
      <w:r>
        <w:rPr>
          <w:spacing w:val="-14"/>
          <w:w w:val="110"/>
        </w:rPr>
        <w:t> </w:t>
      </w:r>
      <w:r>
        <w:rPr>
          <w:w w:val="110"/>
        </w:rPr>
        <w:t>line.</w:t>
      </w:r>
    </w:p>
    <w:p>
      <w:pPr>
        <w:pStyle w:val="BodyText"/>
        <w:spacing w:before="4"/>
        <w:rPr>
          <w:sz w:val="25"/>
        </w:rPr>
      </w:pPr>
    </w:p>
    <w:p>
      <w:pPr>
        <w:pStyle w:val="ListParagraph"/>
        <w:numPr>
          <w:ilvl w:val="0"/>
          <w:numId w:val="31"/>
        </w:numPr>
        <w:tabs>
          <w:tab w:pos="359" w:val="left" w:leader="none"/>
        </w:tabs>
        <w:spacing w:line="240" w:lineRule="auto" w:before="0" w:after="0"/>
        <w:ind w:left="358" w:right="0" w:hanging="239"/>
        <w:jc w:val="both"/>
        <w:rPr>
          <w:sz w:val="24"/>
        </w:rPr>
      </w:pPr>
      <w:r>
        <w:rPr>
          <w:w w:val="110"/>
          <w:sz w:val="24"/>
        </w:rPr>
        <w:t>Personalities</w:t>
      </w:r>
    </w:p>
    <w:p>
      <w:pPr>
        <w:pStyle w:val="BodyText"/>
        <w:spacing w:before="5"/>
        <w:rPr>
          <w:sz w:val="26"/>
        </w:rPr>
      </w:pPr>
    </w:p>
    <w:p>
      <w:pPr>
        <w:pStyle w:val="BodyText"/>
        <w:spacing w:line="249" w:lineRule="auto" w:before="1"/>
        <w:ind w:left="119" w:right="108"/>
        <w:jc w:val="both"/>
      </w:pPr>
      <w:r>
        <w:rPr>
          <w:w w:val="110"/>
        </w:rPr>
        <w:t>Balahnichev - becoming treasurer of the IAAF, just ascended, Knowing the problem of doping in Russia, Balahnichev put on the counter two great swindlers</w:t>
      </w:r>
    </w:p>
    <w:p>
      <w:pPr>
        <w:pStyle w:val="ListParagraph"/>
        <w:numPr>
          <w:ilvl w:val="0"/>
          <w:numId w:val="32"/>
        </w:numPr>
        <w:tabs>
          <w:tab w:pos="262" w:val="left" w:leader="none"/>
        </w:tabs>
        <w:spacing w:line="252" w:lineRule="auto" w:before="1" w:after="0"/>
        <w:ind w:left="119" w:right="107" w:firstLine="0"/>
        <w:jc w:val="both"/>
        <w:rPr>
          <w:sz w:val="24"/>
        </w:rPr>
      </w:pPr>
      <w:r>
        <w:rPr>
          <w:w w:val="110"/>
          <w:sz w:val="24"/>
        </w:rPr>
        <w:t>Papa</w:t>
      </w:r>
      <w:r>
        <w:rPr>
          <w:spacing w:val="-9"/>
          <w:w w:val="110"/>
          <w:sz w:val="24"/>
        </w:rPr>
        <w:t> </w:t>
      </w:r>
      <w:r>
        <w:rPr>
          <w:w w:val="110"/>
          <w:sz w:val="24"/>
        </w:rPr>
        <w:t>Massata</w:t>
      </w:r>
      <w:r>
        <w:rPr>
          <w:spacing w:val="-9"/>
          <w:w w:val="110"/>
          <w:sz w:val="24"/>
        </w:rPr>
        <w:t> </w:t>
      </w:r>
      <w:r>
        <w:rPr>
          <w:w w:val="110"/>
          <w:sz w:val="24"/>
        </w:rPr>
        <w:t>Diack</w:t>
      </w:r>
      <w:r>
        <w:rPr>
          <w:spacing w:val="-9"/>
          <w:w w:val="110"/>
          <w:sz w:val="24"/>
        </w:rPr>
        <w:t> </w:t>
      </w:r>
      <w:r>
        <w:rPr>
          <w:w w:val="110"/>
          <w:sz w:val="24"/>
        </w:rPr>
        <w:t>(the</w:t>
      </w:r>
      <w:r>
        <w:rPr>
          <w:spacing w:val="-12"/>
          <w:w w:val="110"/>
          <w:sz w:val="24"/>
        </w:rPr>
        <w:t> </w:t>
      </w:r>
      <w:r>
        <w:rPr>
          <w:w w:val="110"/>
          <w:sz w:val="24"/>
        </w:rPr>
        <w:t>son</w:t>
      </w:r>
      <w:r>
        <w:rPr>
          <w:spacing w:val="-7"/>
          <w:w w:val="110"/>
          <w:sz w:val="24"/>
        </w:rPr>
        <w:t> </w:t>
      </w:r>
      <w:r>
        <w:rPr>
          <w:w w:val="110"/>
          <w:sz w:val="24"/>
        </w:rPr>
        <w:t>of</w:t>
      </w:r>
      <w:r>
        <w:rPr>
          <w:spacing w:val="-7"/>
          <w:w w:val="110"/>
          <w:sz w:val="24"/>
        </w:rPr>
        <w:t> </w:t>
      </w:r>
      <w:r>
        <w:rPr>
          <w:w w:val="110"/>
          <w:sz w:val="24"/>
        </w:rPr>
        <w:t>the</w:t>
      </w:r>
      <w:r>
        <w:rPr>
          <w:spacing w:val="-10"/>
          <w:w w:val="110"/>
          <w:sz w:val="24"/>
        </w:rPr>
        <w:t> </w:t>
      </w:r>
      <w:r>
        <w:rPr>
          <w:w w:val="110"/>
          <w:sz w:val="24"/>
        </w:rPr>
        <w:t>President</w:t>
      </w:r>
      <w:r>
        <w:rPr>
          <w:spacing w:val="-9"/>
          <w:w w:val="110"/>
          <w:sz w:val="24"/>
        </w:rPr>
        <w:t> </w:t>
      </w:r>
      <w:r>
        <w:rPr>
          <w:w w:val="110"/>
          <w:sz w:val="24"/>
        </w:rPr>
        <w:t>of</w:t>
      </w:r>
      <w:r>
        <w:rPr>
          <w:spacing w:val="-8"/>
          <w:w w:val="110"/>
          <w:sz w:val="24"/>
        </w:rPr>
        <w:t> </w:t>
      </w:r>
      <w:r>
        <w:rPr>
          <w:w w:val="110"/>
          <w:sz w:val="24"/>
        </w:rPr>
        <w:t>the</w:t>
      </w:r>
      <w:r>
        <w:rPr>
          <w:spacing w:val="-10"/>
          <w:w w:val="110"/>
          <w:sz w:val="24"/>
        </w:rPr>
        <w:t> </w:t>
      </w:r>
      <w:r>
        <w:rPr>
          <w:w w:val="110"/>
          <w:sz w:val="24"/>
        </w:rPr>
        <w:t>IAAF</w:t>
      </w:r>
      <w:r>
        <w:rPr>
          <w:spacing w:val="-9"/>
          <w:w w:val="110"/>
          <w:sz w:val="24"/>
        </w:rPr>
        <w:t> </w:t>
      </w:r>
      <w:r>
        <w:rPr>
          <w:w w:val="110"/>
          <w:sz w:val="24"/>
        </w:rPr>
        <w:t>Lamine</w:t>
      </w:r>
      <w:r>
        <w:rPr>
          <w:spacing w:val="-7"/>
          <w:w w:val="110"/>
          <w:sz w:val="24"/>
        </w:rPr>
        <w:t> </w:t>
      </w:r>
      <w:r>
        <w:rPr>
          <w:w w:val="110"/>
          <w:sz w:val="24"/>
        </w:rPr>
        <w:t>Diack,</w:t>
      </w:r>
      <w:r>
        <w:rPr>
          <w:spacing w:val="-5"/>
          <w:w w:val="110"/>
          <w:sz w:val="24"/>
        </w:rPr>
        <w:t> </w:t>
      </w:r>
      <w:r>
        <w:rPr>
          <w:w w:val="110"/>
          <w:sz w:val="24"/>
        </w:rPr>
        <w:t>his</w:t>
      </w:r>
      <w:r>
        <w:rPr>
          <w:spacing w:val="-7"/>
          <w:w w:val="110"/>
          <w:sz w:val="24"/>
        </w:rPr>
        <w:t> </w:t>
      </w:r>
      <w:r>
        <w:rPr>
          <w:w w:val="110"/>
          <w:sz w:val="24"/>
        </w:rPr>
        <w:t>son did everything in his name) and his attorney Habib Cisse. They were simply collectors of money from all national federations for everything - from the concealment of doping to the right of the world championships. Balahnichev and Natalia Zhelanovoy meets them in Moscow as a family, Sisse lives in Ukraine with expensive hotel 11interpreters11. With them is another scoundrel, Dr</w:t>
      </w:r>
      <w:r>
        <w:rPr>
          <w:spacing w:val="-40"/>
          <w:w w:val="110"/>
          <w:sz w:val="24"/>
        </w:rPr>
        <w:t> </w:t>
      </w:r>
      <w:r>
        <w:rPr>
          <w:w w:val="110"/>
          <w:sz w:val="24"/>
        </w:rPr>
        <w:t>Patrick Shamash, he was for many years the Medical Director of the IOC, has now become a consultant to the IAAF, all the while promising to solve all problems, but it does not solve anything, but he is still being paid 10 or 15 thousand euros through Alexei Kravtsov, President of the Russian Skating Union. Previously, he was paid through RUSADA, he even failed to account for the work! Shamash skillfully makes a fool of Balahnicheva, promising to solve the problems with the IOC, WADA and the IAAF, which has long lost its position and promises Zhelanova</w:t>
      </w:r>
      <w:r>
        <w:rPr>
          <w:spacing w:val="-10"/>
          <w:w w:val="110"/>
          <w:sz w:val="24"/>
        </w:rPr>
        <w:t> </w:t>
      </w:r>
      <w:r>
        <w:rPr>
          <w:w w:val="110"/>
          <w:sz w:val="24"/>
        </w:rPr>
        <w:t>membership</w:t>
      </w:r>
      <w:r>
        <w:rPr>
          <w:spacing w:val="-10"/>
          <w:w w:val="110"/>
          <w:sz w:val="24"/>
        </w:rPr>
        <w:t> </w:t>
      </w:r>
      <w:r>
        <w:rPr>
          <w:w w:val="110"/>
          <w:sz w:val="24"/>
        </w:rPr>
        <w:t>of</w:t>
      </w:r>
      <w:r>
        <w:rPr>
          <w:spacing w:val="-10"/>
          <w:w w:val="110"/>
          <w:sz w:val="24"/>
        </w:rPr>
        <w:t> </w:t>
      </w:r>
      <w:r>
        <w:rPr>
          <w:w w:val="110"/>
          <w:sz w:val="24"/>
        </w:rPr>
        <w:t>the</w:t>
      </w:r>
      <w:r>
        <w:rPr>
          <w:spacing w:val="-10"/>
          <w:w w:val="110"/>
          <w:sz w:val="24"/>
        </w:rPr>
        <w:t> </w:t>
      </w:r>
      <w:r>
        <w:rPr>
          <w:w w:val="110"/>
          <w:sz w:val="24"/>
        </w:rPr>
        <w:t>commission</w:t>
      </w:r>
      <w:r>
        <w:rPr>
          <w:spacing w:val="-10"/>
          <w:w w:val="110"/>
          <w:sz w:val="24"/>
        </w:rPr>
        <w:t> </w:t>
      </w:r>
      <w:r>
        <w:rPr>
          <w:w w:val="110"/>
          <w:sz w:val="24"/>
        </w:rPr>
        <w:t>of</w:t>
      </w:r>
      <w:r>
        <w:rPr>
          <w:spacing w:val="-10"/>
          <w:w w:val="110"/>
          <w:sz w:val="24"/>
        </w:rPr>
        <w:t> </w:t>
      </w:r>
      <w:r>
        <w:rPr>
          <w:w w:val="110"/>
          <w:sz w:val="24"/>
        </w:rPr>
        <w:t>the</w:t>
      </w:r>
      <w:r>
        <w:rPr>
          <w:spacing w:val="-10"/>
          <w:w w:val="110"/>
          <w:sz w:val="24"/>
        </w:rPr>
        <w:t> </w:t>
      </w:r>
      <w:r>
        <w:rPr>
          <w:w w:val="110"/>
          <w:sz w:val="24"/>
        </w:rPr>
        <w:t>IAAF.</w:t>
      </w:r>
    </w:p>
    <w:p>
      <w:pPr>
        <w:pStyle w:val="BodyText"/>
        <w:rPr>
          <w:sz w:val="25"/>
        </w:rPr>
      </w:pPr>
    </w:p>
    <w:p>
      <w:pPr>
        <w:pStyle w:val="BodyText"/>
        <w:spacing w:line="252" w:lineRule="auto"/>
        <w:ind w:left="119" w:right="107"/>
        <w:jc w:val="both"/>
      </w:pPr>
      <w:r>
        <w:rPr>
          <w:w w:val="110"/>
        </w:rPr>
        <w:t>NS Zhelanova poor knowledge of English, but she is the one from Russia gthat oes to all the meeting of the Council of Europe lines, Unesco, etc., from her there is no information as an analyst and advisor. very weak, not  organised,  and forgets everything.</w:t>
      </w:r>
    </w:p>
    <w:p>
      <w:pPr>
        <w:pStyle w:val="BodyText"/>
        <w:spacing w:before="4"/>
        <w:rPr>
          <w:sz w:val="25"/>
        </w:rPr>
      </w:pPr>
    </w:p>
    <w:p>
      <w:pPr>
        <w:pStyle w:val="BodyText"/>
        <w:spacing w:line="252" w:lineRule="auto"/>
        <w:ind w:left="119" w:right="108"/>
        <w:jc w:val="both"/>
      </w:pPr>
      <w:r>
        <w:rPr>
          <w:w w:val="110"/>
        </w:rPr>
        <w:t>Chegin</w:t>
      </w:r>
      <w:r>
        <w:rPr>
          <w:spacing w:val="-11"/>
          <w:w w:val="110"/>
        </w:rPr>
        <w:t> </w:t>
      </w:r>
      <w:r>
        <w:rPr>
          <w:w w:val="110"/>
        </w:rPr>
        <w:t>-</w:t>
      </w:r>
      <w:r>
        <w:rPr>
          <w:spacing w:val="-7"/>
          <w:w w:val="110"/>
        </w:rPr>
        <w:t> </w:t>
      </w:r>
      <w:r>
        <w:rPr>
          <w:w w:val="110"/>
        </w:rPr>
        <w:t>long</w:t>
      </w:r>
      <w:r>
        <w:rPr>
          <w:spacing w:val="-10"/>
          <w:w w:val="110"/>
        </w:rPr>
        <w:t> </w:t>
      </w:r>
      <w:r>
        <w:rPr>
          <w:w w:val="110"/>
        </w:rPr>
        <w:t>lost</w:t>
      </w:r>
      <w:r>
        <w:rPr>
          <w:spacing w:val="-7"/>
          <w:w w:val="110"/>
        </w:rPr>
        <w:t> </w:t>
      </w:r>
      <w:r>
        <w:rPr>
          <w:w w:val="110"/>
        </w:rPr>
        <w:t>sense</w:t>
      </w:r>
      <w:r>
        <w:rPr>
          <w:spacing w:val="-10"/>
          <w:w w:val="110"/>
        </w:rPr>
        <w:t> </w:t>
      </w:r>
      <w:r>
        <w:rPr>
          <w:w w:val="110"/>
        </w:rPr>
        <w:t>of</w:t>
      </w:r>
      <w:r>
        <w:rPr>
          <w:spacing w:val="-11"/>
          <w:w w:val="110"/>
        </w:rPr>
        <w:t> </w:t>
      </w:r>
      <w:r>
        <w:rPr>
          <w:w w:val="110"/>
        </w:rPr>
        <w:t>reality.</w:t>
      </w:r>
      <w:r>
        <w:rPr>
          <w:spacing w:val="-7"/>
          <w:w w:val="110"/>
        </w:rPr>
        <w:t> </w:t>
      </w:r>
      <w:r>
        <w:rPr>
          <w:w w:val="110"/>
        </w:rPr>
        <w:t>Snaps</w:t>
      </w:r>
      <w:r>
        <w:rPr>
          <w:spacing w:val="-8"/>
          <w:w w:val="110"/>
        </w:rPr>
        <w:t> </w:t>
      </w:r>
      <w:r>
        <w:rPr>
          <w:w w:val="110"/>
        </w:rPr>
        <w:t>even</w:t>
      </w:r>
      <w:r>
        <w:rPr>
          <w:spacing w:val="-7"/>
          <w:w w:val="110"/>
        </w:rPr>
        <w:t> </w:t>
      </w:r>
      <w:r>
        <w:rPr>
          <w:w w:val="110"/>
        </w:rPr>
        <w:t>to</w:t>
      </w:r>
      <w:r>
        <w:rPr>
          <w:spacing w:val="-9"/>
          <w:w w:val="110"/>
        </w:rPr>
        <w:t> </w:t>
      </w:r>
      <w:r>
        <w:rPr>
          <w:w w:val="110"/>
        </w:rPr>
        <w:t>Mutko!</w:t>
      </w:r>
      <w:r>
        <w:rPr>
          <w:spacing w:val="-7"/>
          <w:w w:val="110"/>
        </w:rPr>
        <w:t> </w:t>
      </w:r>
      <w:r>
        <w:rPr>
          <w:w w:val="110"/>
        </w:rPr>
        <w:t>He</w:t>
      </w:r>
      <w:r>
        <w:rPr>
          <w:spacing w:val="-7"/>
          <w:w w:val="110"/>
        </w:rPr>
        <w:t> </w:t>
      </w:r>
      <w:r>
        <w:rPr>
          <w:w w:val="110"/>
        </w:rPr>
        <w:t>lives</w:t>
      </w:r>
      <w:r>
        <w:rPr>
          <w:spacing w:val="-8"/>
          <w:w w:val="110"/>
        </w:rPr>
        <w:t> </w:t>
      </w:r>
      <w:r>
        <w:rPr>
          <w:w w:val="110"/>
        </w:rPr>
        <w:t>with</w:t>
      </w:r>
      <w:r>
        <w:rPr>
          <w:spacing w:val="-8"/>
          <w:w w:val="110"/>
        </w:rPr>
        <w:t> </w:t>
      </w:r>
      <w:r>
        <w:rPr>
          <w:w w:val="110"/>
        </w:rPr>
        <w:t>Kaniskina. If it is serious for him to take, then his whole life - it's a criminal case. He started stabbing the injection of erythropoietin in dirty Chinese 13-14 year old girls and boys. He boasted that he did in the 50 injections per day in the 11preparatory period11</w:t>
      </w:r>
      <w:r>
        <w:rPr>
          <w:spacing w:val="-35"/>
          <w:w w:val="110"/>
        </w:rPr>
        <w:t> </w:t>
      </w:r>
      <w:r>
        <w:rPr>
          <w:w w:val="110"/>
        </w:rPr>
        <w:t>without</w:t>
      </w:r>
      <w:r>
        <w:rPr>
          <w:spacing w:val="-35"/>
          <w:w w:val="110"/>
        </w:rPr>
        <w:t> </w:t>
      </w:r>
      <w:r>
        <w:rPr>
          <w:w w:val="110"/>
        </w:rPr>
        <w:t>a</w:t>
      </w:r>
      <w:r>
        <w:rPr>
          <w:spacing w:val="-35"/>
          <w:w w:val="110"/>
        </w:rPr>
        <w:t> </w:t>
      </w:r>
      <w:r>
        <w:rPr>
          <w:w w:val="110"/>
        </w:rPr>
        <w:t>medical</w:t>
      </w:r>
      <w:r>
        <w:rPr>
          <w:spacing w:val="-35"/>
          <w:w w:val="110"/>
        </w:rPr>
        <w:t> </w:t>
      </w:r>
      <w:r>
        <w:rPr>
          <w:w w:val="110"/>
        </w:rPr>
        <w:t>education.</w:t>
      </w:r>
    </w:p>
    <w:p>
      <w:pPr>
        <w:pStyle w:val="BodyText"/>
        <w:spacing w:before="10"/>
      </w:pPr>
    </w:p>
    <w:p>
      <w:pPr>
        <w:pStyle w:val="BodyText"/>
        <w:spacing w:line="252" w:lineRule="auto"/>
        <w:ind w:left="119" w:right="107"/>
        <w:jc w:val="both"/>
      </w:pPr>
      <w:r>
        <w:rPr>
          <w:w w:val="110"/>
        </w:rPr>
        <w:t>Portugalov - departed from  previous turbulent affairs. Can not touch him, let</w:t>
      </w:r>
      <w:r>
        <w:rPr>
          <w:spacing w:val="66"/>
          <w:w w:val="110"/>
        </w:rPr>
        <w:t> </w:t>
      </w:r>
      <w:r>
        <w:rPr>
          <w:w w:val="110"/>
        </w:rPr>
        <w:t>him go quietly into retirement. Extremely dangerous - if he starts to talk, then it will be very bad for everyone. Perhaps he has a dossier on everyone and everything. In general, can go abroad under the guise of treatment, although his health is now</w:t>
      </w:r>
      <w:r>
        <w:rPr>
          <w:spacing w:val="9"/>
          <w:w w:val="110"/>
        </w:rPr>
        <w:t> </w:t>
      </w:r>
      <w:r>
        <w:rPr>
          <w:w w:val="110"/>
        </w:rPr>
        <w:t>poor.</w:t>
      </w:r>
    </w:p>
    <w:p>
      <w:pPr>
        <w:pStyle w:val="BodyText"/>
        <w:spacing w:before="4"/>
        <w:rPr>
          <w:sz w:val="25"/>
        </w:rPr>
      </w:pPr>
    </w:p>
    <w:p>
      <w:pPr>
        <w:pStyle w:val="BodyText"/>
        <w:ind w:left="119"/>
        <w:jc w:val="both"/>
      </w:pPr>
      <w:r>
        <w:rPr>
          <w:w w:val="125"/>
        </w:rPr>
        <w:t>What to </w:t>
      </w:r>
      <w:r>
        <w:rPr>
          <w:w w:val="155"/>
        </w:rPr>
        <w:t>do.</w:t>
      </w:r>
    </w:p>
    <w:p>
      <w:pPr>
        <w:spacing w:after="0"/>
        <w:jc w:val="both"/>
        <w:sectPr>
          <w:footerReference w:type="default" r:id="rId146"/>
          <w:pgSz w:w="12240" w:h="15840"/>
          <w:pgMar w:footer="707" w:header="0" w:top="1440" w:bottom="900" w:left="1700" w:right="1680"/>
        </w:sectPr>
      </w:pPr>
    </w:p>
    <w:p>
      <w:pPr>
        <w:pStyle w:val="BodyText"/>
        <w:spacing w:before="11"/>
        <w:rPr>
          <w:sz w:val="17"/>
        </w:rPr>
      </w:pPr>
    </w:p>
    <w:p>
      <w:pPr>
        <w:pStyle w:val="BodyText"/>
        <w:spacing w:line="252" w:lineRule="auto" w:before="36"/>
        <w:ind w:left="119" w:right="266"/>
        <w:jc w:val="both"/>
      </w:pPr>
      <w:r>
        <w:rPr>
          <w:w w:val="110"/>
        </w:rPr>
        <w:t>Much depends on the IAAF. They cannot accept ragged disqualification schedule of walkers as proposed RUSADA. Although this is a small thing. Leadership of the IAAF will be replaced during the World Championship in Beijing in August 2015, Lord Sebastian Coe will replace Diack, and it is the Anglo-Saxon tradition that the whole resolute French speaking gang disperses. Already now it is necessary to provide a solid candidate for the IAAF from Russia, as Balahnichev is impassable and compromised himself all along the line. The new candidate must</w:t>
      </w:r>
      <w:r>
        <w:rPr>
          <w:spacing w:val="-8"/>
          <w:w w:val="110"/>
        </w:rPr>
        <w:t> </w:t>
      </w:r>
      <w:r>
        <w:rPr>
          <w:w w:val="110"/>
        </w:rPr>
        <w:t>be</w:t>
      </w:r>
      <w:r>
        <w:rPr>
          <w:spacing w:val="-9"/>
          <w:w w:val="110"/>
        </w:rPr>
        <w:t> </w:t>
      </w:r>
      <w:r>
        <w:rPr>
          <w:w w:val="110"/>
        </w:rPr>
        <w:t>completely</w:t>
      </w:r>
      <w:r>
        <w:rPr>
          <w:spacing w:val="-6"/>
          <w:w w:val="110"/>
        </w:rPr>
        <w:t> </w:t>
      </w:r>
      <w:r>
        <w:rPr>
          <w:w w:val="110"/>
        </w:rPr>
        <w:t>distanced</w:t>
      </w:r>
      <w:r>
        <w:rPr>
          <w:spacing w:val="-6"/>
          <w:w w:val="110"/>
        </w:rPr>
        <w:t> </w:t>
      </w:r>
      <w:r>
        <w:rPr>
          <w:w w:val="110"/>
        </w:rPr>
        <w:t>from</w:t>
      </w:r>
      <w:r>
        <w:rPr>
          <w:spacing w:val="-6"/>
          <w:w w:val="110"/>
        </w:rPr>
        <w:t> </w:t>
      </w:r>
      <w:r>
        <w:rPr>
          <w:w w:val="110"/>
        </w:rPr>
        <w:t>Balahnichev</w:t>
      </w:r>
      <w:r>
        <w:rPr>
          <w:spacing w:val="-9"/>
          <w:w w:val="110"/>
        </w:rPr>
        <w:t> </w:t>
      </w:r>
      <w:r>
        <w:rPr>
          <w:w w:val="110"/>
        </w:rPr>
        <w:t>(VB</w:t>
      </w:r>
      <w:r>
        <w:rPr>
          <w:spacing w:val="-6"/>
          <w:w w:val="110"/>
        </w:rPr>
        <w:t> </w:t>
      </w:r>
      <w:r>
        <w:rPr>
          <w:w w:val="110"/>
        </w:rPr>
        <w:t>Zelichenok</w:t>
      </w:r>
      <w:r>
        <w:rPr>
          <w:spacing w:val="-5"/>
          <w:w w:val="110"/>
        </w:rPr>
        <w:t> </w:t>
      </w:r>
      <w:r>
        <w:rPr>
          <w:w w:val="110"/>
        </w:rPr>
        <w:t>on</w:t>
      </w:r>
      <w:r>
        <w:rPr>
          <w:spacing w:val="-7"/>
          <w:w w:val="110"/>
        </w:rPr>
        <w:t> </w:t>
      </w:r>
      <w:r>
        <w:rPr>
          <w:w w:val="110"/>
        </w:rPr>
        <w:t>this</w:t>
      </w:r>
      <w:r>
        <w:rPr>
          <w:spacing w:val="-6"/>
          <w:w w:val="110"/>
        </w:rPr>
        <w:t> </w:t>
      </w:r>
      <w:r>
        <w:rPr>
          <w:w w:val="110"/>
        </w:rPr>
        <w:t>indicator does not</w:t>
      </w:r>
      <w:r>
        <w:rPr>
          <w:spacing w:val="-1"/>
          <w:w w:val="110"/>
        </w:rPr>
        <w:t> </w:t>
      </w:r>
      <w:r>
        <w:rPr>
          <w:w w:val="110"/>
        </w:rPr>
        <w:t>pass).</w:t>
      </w:r>
    </w:p>
    <w:p>
      <w:pPr>
        <w:pStyle w:val="BodyText"/>
        <w:spacing w:before="10"/>
      </w:pPr>
    </w:p>
    <w:p>
      <w:pPr>
        <w:pStyle w:val="BodyText"/>
        <w:spacing w:line="252" w:lineRule="auto" w:before="1"/>
        <w:ind w:left="119" w:right="259"/>
        <w:jc w:val="both"/>
      </w:pPr>
      <w:r>
        <w:rPr>
          <w:w w:val="110"/>
        </w:rPr>
        <w:t>The main thing </w:t>
      </w:r>
      <w:r>
        <w:rPr>
          <w:w w:val="120"/>
        </w:rPr>
        <w:t>- </w:t>
      </w:r>
      <w:r>
        <w:rPr>
          <w:w w:val="110"/>
        </w:rPr>
        <w:t>is that the IAAF does not initiate reanalysis of old samples. After receiving the first positive results, they will not be able to stop, under public pressure, and WADA will make them all now be analyzed samples of Russian athletes. To prevent this, it is necessary to skillfully work with the staff, starting with Thomas Bach and David Homan and ending Marcel Sozhi and Thomas Capdevielle. If the IAAF reassures WADA for its Independent Commission (must complete the investigation until 31 December 2015) nothing alone will not do, no experience, no resources. More precisely, the experience is negative - WADA commission lost the hearing with FSUE ADC and Rodchenkova</w:t>
      </w:r>
      <w:r>
        <w:rPr>
          <w:spacing w:val="-10"/>
          <w:w w:val="110"/>
        </w:rPr>
        <w:t> </w:t>
      </w:r>
      <w:r>
        <w:rPr>
          <w:w w:val="110"/>
        </w:rPr>
        <w:t>in</w:t>
      </w:r>
      <w:r>
        <w:rPr>
          <w:spacing w:val="-13"/>
          <w:w w:val="110"/>
        </w:rPr>
        <w:t> </w:t>
      </w:r>
      <w:r>
        <w:rPr>
          <w:w w:val="110"/>
        </w:rPr>
        <w:t>Johannesburg</w:t>
      </w:r>
      <w:r>
        <w:rPr>
          <w:spacing w:val="-13"/>
          <w:w w:val="110"/>
        </w:rPr>
        <w:t> </w:t>
      </w:r>
      <w:r>
        <w:rPr>
          <w:w w:val="110"/>
        </w:rPr>
        <w:t>in</w:t>
      </w:r>
      <w:r>
        <w:rPr>
          <w:spacing w:val="-13"/>
          <w:w w:val="110"/>
        </w:rPr>
        <w:t> </w:t>
      </w:r>
      <w:r>
        <w:rPr>
          <w:w w:val="110"/>
        </w:rPr>
        <w:t>November</w:t>
      </w:r>
      <w:r>
        <w:rPr>
          <w:spacing w:val="-15"/>
          <w:w w:val="110"/>
        </w:rPr>
        <w:t> </w:t>
      </w:r>
      <w:r>
        <w:rPr>
          <w:w w:val="110"/>
        </w:rPr>
        <w:t>2013.</w:t>
      </w:r>
    </w:p>
    <w:p>
      <w:pPr>
        <w:pStyle w:val="BodyText"/>
        <w:rPr>
          <w:sz w:val="25"/>
        </w:rPr>
      </w:pPr>
    </w:p>
    <w:p>
      <w:pPr>
        <w:pStyle w:val="BodyText"/>
        <w:spacing w:line="249" w:lineRule="auto"/>
        <w:ind w:left="119" w:right="260"/>
        <w:jc w:val="both"/>
      </w:pPr>
      <w:r>
        <w:rPr>
          <w:w w:val="110"/>
        </w:rPr>
        <w:t>How to prepare for Rio - should be balanced with a full discussion of</w:t>
      </w:r>
      <w:r>
        <w:rPr>
          <w:spacing w:val="66"/>
          <w:w w:val="110"/>
        </w:rPr>
        <w:t> </w:t>
      </w:r>
      <w:r>
        <w:rPr>
          <w:w w:val="110"/>
        </w:rPr>
        <w:t>revaluations of the situation and taking into account all the risks. Stepanov and Rusanov, the main witnesses against Russia, continue to collect and organize information. They have informants in RUSADA (a lot of laid-off and offended, but continue to communicate with the rest) and in the national</w:t>
      </w:r>
      <w:r>
        <w:rPr>
          <w:spacing w:val="13"/>
          <w:w w:val="110"/>
        </w:rPr>
        <w:t> </w:t>
      </w:r>
      <w:r>
        <w:rPr>
          <w:w w:val="110"/>
        </w:rPr>
        <w:t>team.</w:t>
      </w:r>
    </w:p>
    <w:p>
      <w:pPr>
        <w:pStyle w:val="BodyText"/>
        <w:spacing w:before="9"/>
        <w:rPr>
          <w:sz w:val="19"/>
        </w:rPr>
      </w:pPr>
    </w:p>
    <w:p>
      <w:pPr>
        <w:pStyle w:val="BodyText"/>
        <w:tabs>
          <w:tab w:pos="4747" w:val="left" w:leader="none"/>
          <w:tab w:pos="7427" w:val="left" w:leader="none"/>
        </w:tabs>
        <w:spacing w:line="252" w:lineRule="auto"/>
        <w:ind w:left="119" w:right="233"/>
      </w:pPr>
      <w:r>
        <w:rPr/>
        <w:pict>
          <v:rect style="position:absolute;margin-left:364.679993pt;margin-top:4.175118pt;width:89.4pt;height:14.52pt;mso-position-horizontal-relative:page;mso-position-vertical-relative:paragraph;z-index:-71152" filled="true" fillcolor="#000000" stroked="false">
            <v:fill type="solid"/>
            <w10:wrap type="none"/>
          </v:rect>
        </w:pict>
      </w:r>
      <w:r>
        <w:rPr/>
        <w:t>Another figure to be somehow brought</w:t>
      </w:r>
      <w:r>
        <w:rPr>
          <w:spacing w:val="-37"/>
        </w:rPr>
        <w:t> </w:t>
      </w:r>
      <w:r>
        <w:rPr/>
        <w:t>to</w:t>
      </w:r>
      <w:r>
        <w:rPr>
          <w:spacing w:val="-7"/>
        </w:rPr>
        <w:t> </w:t>
      </w:r>
      <w:r>
        <w:rPr/>
        <w:t>life,</w:t>
        <w:tab/>
        <w:t>is</w:t>
        <w:tab/>
        <w:t>manager</w:t>
      </w:r>
      <w:r>
        <w:rPr>
          <w:spacing w:val="-6"/>
        </w:rPr>
        <w:t> </w:t>
      </w:r>
      <w:r>
        <w:rPr/>
        <w:t>of</w:t>
      </w:r>
      <w:r>
        <w:rPr>
          <w:spacing w:val="-1"/>
          <w:w w:val="96"/>
        </w:rPr>
        <w:t> </w:t>
      </w:r>
      <w:r>
        <w:rPr/>
        <w:t>Lilia Shobukhova. It was he who blew the scandal with money and unleashed Igor Shobukhova</w:t>
      </w:r>
      <w:r>
        <w:rPr>
          <w:spacing w:val="-12"/>
        </w:rPr>
        <w:t> </w:t>
      </w:r>
      <w:r>
        <w:rPr/>
        <w:t>(he</w:t>
      </w:r>
      <w:r>
        <w:rPr>
          <w:spacing w:val="-12"/>
        </w:rPr>
        <w:t> </w:t>
      </w:r>
      <w:r>
        <w:rPr/>
        <w:t>was</w:t>
      </w:r>
      <w:r>
        <w:rPr>
          <w:spacing w:val="-12"/>
        </w:rPr>
        <w:t> </w:t>
      </w:r>
      <w:r>
        <w:rPr/>
        <w:t>not</w:t>
      </w:r>
      <w:r>
        <w:rPr>
          <w:spacing w:val="-12"/>
        </w:rPr>
        <w:t> </w:t>
      </w:r>
      <w:r>
        <w:rPr/>
        <w:t>aware</w:t>
      </w:r>
      <w:r>
        <w:rPr>
          <w:spacing w:val="-12"/>
        </w:rPr>
        <w:t> </w:t>
      </w:r>
      <w:r>
        <w:rPr/>
        <w:t>of</w:t>
      </w:r>
      <w:r>
        <w:rPr>
          <w:spacing w:val="-12"/>
        </w:rPr>
        <w:t> </w:t>
      </w:r>
      <w:r>
        <w:rPr/>
        <w:t>the</w:t>
      </w:r>
      <w:r>
        <w:rPr>
          <w:spacing w:val="-12"/>
        </w:rPr>
        <w:t> </w:t>
      </w:r>
      <w:r>
        <w:rPr/>
        <w:t>contract)</w:t>
      </w:r>
      <w:r>
        <w:rPr>
          <w:spacing w:val="-12"/>
        </w:rPr>
        <w:t> </w:t>
      </w:r>
      <w:r>
        <w:rPr/>
        <w:t>Melnikov</w:t>
      </w:r>
      <w:r>
        <w:rPr>
          <w:spacing w:val="-12"/>
        </w:rPr>
        <w:t> </w:t>
      </w:r>
      <w:r>
        <w:rPr/>
        <w:t>and</w:t>
      </w:r>
      <w:r>
        <w:rPr>
          <w:spacing w:val="-12"/>
        </w:rPr>
        <w:t> </w:t>
      </w:r>
      <w:r>
        <w:rPr/>
        <w:t>Balahnichev,</w:t>
      </w:r>
      <w:r>
        <w:rPr>
          <w:spacing w:val="-12"/>
        </w:rPr>
        <w:t> </w:t>
      </w:r>
      <w:r>
        <w:rPr/>
        <w:t>Shobukhov</w:t>
      </w:r>
      <w:r>
        <w:rPr>
          <w:spacing w:val="39"/>
        </w:rPr>
        <w:t> </w:t>
      </w:r>
      <w:r>
        <w:rPr/>
        <w:t>all</w:t>
      </w:r>
    </w:p>
    <w:p>
      <w:pPr>
        <w:pStyle w:val="BodyText"/>
        <w:tabs>
          <w:tab w:pos="8759" w:val="left" w:leader="none"/>
        </w:tabs>
        <w:ind w:left="119"/>
      </w:pPr>
      <w:r>
        <w:rPr/>
        <w:pict>
          <v:group style="position:absolute;margin-left:381.480011pt;margin-top:4.235114pt;width:74.8pt;height:14.55pt;mso-position-horizontal-relative:page;mso-position-vertical-relative:paragraph;z-index:-71128" coordorigin="7630,85" coordsize="1496,291">
            <v:rect style="position:absolute;left:7630;top:85;width:1495;height:290" filled="true" fillcolor="#000000" stroked="false">
              <v:fill type="solid"/>
            </v:rect>
            <v:line style="position:absolute" from="7747,248" to="9064,248" stroked="true" strokeweight=".6pt" strokecolor="#000000"/>
            <w10:wrap type="none"/>
          </v:group>
        </w:pict>
      </w:r>
      <w:r>
        <w:rPr/>
        <w:t>told  counsel  and</w:t>
      </w:r>
      <w:r>
        <w:rPr>
          <w:spacing w:val="34"/>
        </w:rPr>
        <w:t> </w:t>
      </w:r>
      <w:r>
        <w:rPr/>
        <w:t>information </w:t>
      </w:r>
      <w:r>
        <w:rPr>
          <w:spacing w:val="47"/>
        </w:rPr>
        <w:t> </w:t>
      </w:r>
      <w:r>
        <w:rPr/>
        <w:t>left.</w:t>
        <w:tab/>
        <w:t>is</w:t>
      </w:r>
    </w:p>
    <w:p>
      <w:pPr>
        <w:pStyle w:val="BodyText"/>
        <w:tabs>
          <w:tab w:pos="8385" w:val="left" w:leader="none"/>
        </w:tabs>
        <w:spacing w:line="252" w:lineRule="auto" w:before="13"/>
        <w:ind w:left="119" w:right="347"/>
        <w:jc w:val="both"/>
      </w:pPr>
      <w:r>
        <w:rPr/>
        <w:pict>
          <v:rect style="position:absolute;margin-left:229.080002pt;margin-top:33.625122pt;width:270.12pt;height:14.76pt;mso-position-horizontal-relative:page;mso-position-vertical-relative:paragraph;z-index:-71104" filled="true" fillcolor="#000000" stroked="false">
            <v:fill type="solid"/>
            <w10:wrap type="none"/>
          </v:rect>
        </w:pict>
      </w:r>
      <w:r>
        <w:rPr/>
        <w:t>still the manager of Russian runners! Russian athletes are at a centralized training, spent budget funds, are supported in DSP, and in the field - and act on commercial runs in the profit</w:t>
      </w:r>
      <w:r>
        <w:rPr>
          <w:spacing w:val="-7"/>
        </w:rPr>
        <w:t> </w:t>
      </w:r>
      <w:r>
        <w:rPr/>
        <w:t>of</w:t>
        <w:tab/>
        <w:t>He</w:t>
      </w:r>
    </w:p>
    <w:p>
      <w:pPr>
        <w:pStyle w:val="BodyText"/>
        <w:spacing w:line="252" w:lineRule="auto"/>
        <w:ind w:left="119" w:right="556"/>
      </w:pPr>
      <w:r>
        <w:rPr/>
        <w:t>supplies anabolic steroids (learned from Kulichenko) and personally to blame for the disqualification Lyubov Denisova. He collects information and must be excluded from working with Russian runner.</w:t>
      </w:r>
    </w:p>
    <w:p>
      <w:pPr>
        <w:pStyle w:val="BodyText"/>
        <w:spacing w:before="1"/>
        <w:rPr>
          <w:sz w:val="29"/>
        </w:rPr>
      </w:pPr>
      <w:r>
        <w:rPr/>
        <w:pict>
          <v:group style="position:absolute;margin-left:90.839996pt;margin-top:18.691837pt;width:186.15pt;height:72.4pt;mso-position-horizontal-relative:page;mso-position-vertical-relative:paragraph;z-index:1912;mso-wrap-distance-left:0;mso-wrap-distance-right:0" coordorigin="1817,374" coordsize="3723,1448">
            <v:rect style="position:absolute;left:1817;top:374;width:1764;height:290" filled="true" fillcolor="#000000" stroked="false">
              <v:fill type="solid"/>
            </v:rect>
            <v:rect style="position:absolute;left:1817;top:662;width:3722;height:290" filled="true" fillcolor="#000000" stroked="false">
              <v:fill type="solid"/>
            </v:rect>
            <v:rect style="position:absolute;left:1817;top:950;width:1668;height:295" filled="true" fillcolor="#000000" stroked="false">
              <v:fill type="solid"/>
            </v:rect>
            <v:rect style="position:absolute;left:1817;top:1243;width:2732;height:290" filled="true" fillcolor="#000000" stroked="false">
              <v:fill type="solid"/>
            </v:rect>
            <v:rect style="position:absolute;left:1817;top:1531;width:2460;height:290" filled="true" fillcolor="#000000" stroked="false">
              <v:fill type="solid"/>
            </v:rect>
            <w10:wrap type="topAndBottom"/>
          </v:group>
        </w:pict>
      </w:r>
    </w:p>
    <w:p>
      <w:pPr>
        <w:spacing w:after="0"/>
        <w:rPr>
          <w:sz w:val="29"/>
        </w:rPr>
        <w:sectPr>
          <w:pgSz w:w="12240" w:h="15840"/>
          <w:pgMar w:header="0" w:footer="707" w:top="1500" w:bottom="900" w:left="1700" w:right="1520"/>
        </w:sectPr>
      </w:pPr>
    </w:p>
    <w:p>
      <w:pPr>
        <w:pStyle w:val="BodyText"/>
        <w:ind w:left="116"/>
        <w:rPr>
          <w:sz w:val="20"/>
        </w:rPr>
      </w:pPr>
      <w:r>
        <w:rPr>
          <w:sz w:val="20"/>
        </w:rPr>
        <w:pict>
          <v:group style="width:148.65pt;height:43.6pt;mso-position-horizontal-relative:char;mso-position-vertical-relative:line" coordorigin="0,0" coordsize="2973,872">
            <v:rect style="position:absolute;left:0;top:0;width:2972;height:290" filled="true" fillcolor="#000000" stroked="false">
              <v:fill type="solid"/>
            </v:rect>
            <v:rect style="position:absolute;left:0;top:288;width:1822;height:295" filled="true" fillcolor="#000000" stroked="false">
              <v:fill type="solid"/>
            </v:rect>
            <v:rect style="position:absolute;left:0;top:581;width:2945;height:290" filled="true" fillcolor="#000000" stroked="false">
              <v:fill type="solid"/>
            </v:rect>
          </v:group>
        </w:pict>
      </w:r>
      <w:r>
        <w:rPr>
          <w:sz w:val="20"/>
        </w:rPr>
      </w:r>
    </w:p>
    <w:p>
      <w:pPr>
        <w:pStyle w:val="BodyText"/>
        <w:rPr>
          <w:sz w:val="20"/>
        </w:rPr>
      </w:pPr>
    </w:p>
    <w:p>
      <w:pPr>
        <w:pStyle w:val="BodyText"/>
        <w:rPr>
          <w:sz w:val="20"/>
        </w:rPr>
      </w:pPr>
    </w:p>
    <w:p>
      <w:pPr>
        <w:pStyle w:val="BodyText"/>
        <w:spacing w:before="9"/>
        <w:rPr>
          <w:sz w:val="27"/>
        </w:rPr>
      </w:pPr>
    </w:p>
    <w:p>
      <w:pPr>
        <w:pStyle w:val="BodyText"/>
        <w:spacing w:before="41"/>
        <w:ind w:left="178" w:right="113"/>
        <w:rPr>
          <w:rFonts w:ascii="Georgia"/>
        </w:rPr>
      </w:pPr>
      <w:r>
        <w:rPr>
          <w:rFonts w:ascii="Georgia"/>
        </w:rPr>
        <w:t>ADDITIONAL  INFORMATION</w:t>
      </w:r>
    </w:p>
    <w:p>
      <w:pPr>
        <w:pStyle w:val="BodyText"/>
        <w:spacing w:before="1"/>
        <w:rPr>
          <w:rFonts w:ascii="Georgia"/>
          <w:sz w:val="27"/>
        </w:rPr>
      </w:pPr>
    </w:p>
    <w:p>
      <w:pPr>
        <w:pStyle w:val="BodyText"/>
        <w:spacing w:line="254" w:lineRule="auto"/>
        <w:ind w:left="119" w:right="181"/>
        <w:jc w:val="both"/>
        <w:rPr>
          <w:rFonts w:ascii="Georgia"/>
        </w:rPr>
      </w:pPr>
      <w:r>
        <w:rPr>
          <w:rFonts w:ascii="Georgia"/>
        </w:rPr>
        <w:t>The same situation is uncontrollable in weightlifting. Promise to three Olympic gold medals (the same as it was before the Beijing and London, but there was no gold ..). The use of anabolic steroids is almost year-round,    these</w:t>
      </w:r>
    </w:p>
    <w:p>
      <w:pPr>
        <w:pStyle w:val="BodyText"/>
        <w:tabs>
          <w:tab w:pos="1988" w:val="left" w:leader="none"/>
          <w:tab w:pos="3382" w:val="left" w:leader="none"/>
          <w:tab w:pos="4405" w:val="left" w:leader="none"/>
          <w:tab w:pos="4674" w:val="left" w:leader="none"/>
          <w:tab w:pos="5263" w:val="left" w:leader="none"/>
          <w:tab w:pos="6955" w:val="left" w:leader="none"/>
          <w:tab w:pos="7605" w:val="left" w:leader="none"/>
          <w:tab w:pos="8336" w:val="left" w:leader="none"/>
          <w:tab w:pos="8472" w:val="left" w:leader="none"/>
        </w:tabs>
        <w:spacing w:line="254" w:lineRule="auto"/>
        <w:ind w:left="119" w:right="113"/>
        <w:rPr>
          <w:rFonts w:ascii="Georgia"/>
        </w:rPr>
      </w:pPr>
      <w:r>
        <w:rPr>
          <w:rFonts w:ascii="Georgia"/>
        </w:rPr>
        <w:t>all</w:t>
      </w:r>
      <w:r>
        <w:rPr>
          <w:rFonts w:ascii="Georgia"/>
          <w:spacing w:val="20"/>
        </w:rPr>
        <w:t> </w:t>
      </w:r>
      <w:r>
        <w:rPr>
          <w:rFonts w:ascii="Georgia"/>
        </w:rPr>
        <w:t>bad</w:t>
      </w:r>
      <w:r>
        <w:rPr>
          <w:rFonts w:ascii="Georgia"/>
          <w:spacing w:val="23"/>
        </w:rPr>
        <w:t> </w:t>
      </w:r>
      <w:r>
        <w:rPr>
          <w:rFonts w:ascii="Georgia"/>
        </w:rPr>
        <w:t>steroid</w:t>
        <w:tab/>
        <w:t>passports.</w:t>
        <w:tab/>
        <w:t>Leverage</w:t>
        <w:tab/>
        <w:tab/>
        <w:t>on</w:t>
        <w:tab/>
        <w:t>weightlifting</w:t>
        <w:tab/>
        <w:t>no.</w:t>
        <w:tab/>
        <w:t>Once</w:t>
        <w:tab/>
        <w:tab/>
      </w:r>
      <w:r>
        <w:rPr>
          <w:rFonts w:ascii="Georgia"/>
          <w:w w:val="95"/>
        </w:rPr>
        <w:t>the </w:t>
      </w:r>
      <w:r>
        <w:rPr>
          <w:rFonts w:ascii="Georgia"/>
        </w:rPr>
        <w:t>pre-Olympic</w:t>
        <w:tab/>
        <w:tab/>
        <w:tab/>
        <w:t>collectors</w:t>
        <w:tab/>
        <w:tab/>
        <w:tab/>
      </w:r>
      <w:r>
        <w:rPr>
          <w:rFonts w:ascii="Georgia"/>
          <w:spacing w:val="-1"/>
          <w:w w:val="95"/>
        </w:rPr>
        <w:t>earn </w:t>
      </w:r>
      <w:r>
        <w:rPr>
          <w:rFonts w:ascii="Georgia"/>
        </w:rPr>
        <w:t>PWC / GQS samples - suddenly the whole team, both male and female, will be destroyed.</w:t>
      </w:r>
    </w:p>
    <w:sectPr>
      <w:pgSz w:w="12240" w:h="15840"/>
      <w:pgMar w:header="0" w:footer="707" w:top="1460" w:bottom="900" w:left="1700" w:right="16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alatino Linotype">
    <w:altName w:val="Palatino Linotype"/>
    <w:charset w:val="0"/>
    <w:family w:val="roman"/>
    <w:pitch w:val="variable"/>
  </w:font>
  <w:font w:name="Georgia">
    <w:altName w:val="Georgia"/>
    <w:charset w:val="0"/>
    <w:family w:val="roman"/>
    <w:pitch w:val="variable"/>
  </w:font>
  <w:font w:name="Lucida Sans Unicode">
    <w:altName w:val="Lucida Sans Unicode"/>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0.080017pt;margin-top:746.880005pt;width:2.3pt;height:7.95pt;mso-position-horizontal-relative:page;mso-position-vertical-relative:page;z-index:-72064" coordorigin="10402,14938" coordsize="46,159" path="m10438,14938l10416,14938,10416,14959,10438,14959,10438,14938xm10445,15089l10409,15089,10406,15091,10404,15091,10404,15096,10447,15096,10447,15091,10445,15089xm10440,15086l10411,15086,10411,15089,10442,15089,10440,15086xm10435,14983l10402,14983,10402,14988,10404,14988,10409,14990,10411,14990,10414,14993,10414,14995,10416,14995,10416,15079,10414,15082,10414,15086,10438,15086,10438,15084,10435,15082,10435,14983xe" filled="true" fillcolor="#000000" stroked="false">
          <v:path arrowok="t"/>
          <v:fill type="solid"/>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63631">
          <wp:simplePos x="0" y="0"/>
          <wp:positionH relativeFrom="page">
            <wp:posOffset>6486144</wp:posOffset>
          </wp:positionH>
          <wp:positionV relativeFrom="page">
            <wp:posOffset>9482328</wp:posOffset>
          </wp:positionV>
          <wp:extent cx="146303" cy="105156"/>
          <wp:effectExtent l="0" t="0" r="0" b="0"/>
          <wp:wrapNone/>
          <wp:docPr id="13" name="image8.png" descr=""/>
          <wp:cNvGraphicFramePr>
            <a:graphicFrameLocks noChangeAspect="1"/>
          </wp:cNvGraphicFramePr>
          <a:graphic>
            <a:graphicData uri="http://schemas.openxmlformats.org/drawingml/2006/picture">
              <pic:pic>
                <pic:nvPicPr>
                  <pic:cNvPr id="14" name="image8.png"/>
                  <pic:cNvPicPr/>
                </pic:nvPicPr>
                <pic:blipFill>
                  <a:blip r:embed="rId1" cstate="print"/>
                  <a:stretch>
                    <a:fillRect/>
                  </a:stretch>
                </pic:blipFill>
                <pic:spPr>
                  <a:xfrm>
                    <a:off x="0" y="0"/>
                    <a:ext cx="146303" cy="105156"/>
                  </a:xfrm>
                  <a:prstGeom prst="rect">
                    <a:avLst/>
                  </a:prstGeom>
                </pic:spPr>
              </pic:pic>
            </a:graphicData>
          </a:graphic>
        </wp:anchor>
      </w:drawing>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600006pt;margin-top:746.640015pt;width:4.8pt;height:8.2pt;mso-position-horizontal-relative:page;mso-position-vertical-relative:page;z-index:-71800" coordorigin="10212,14933" coordsize="96,164" path="m10294,14942l10270,14942,10272,14947,10277,14950,10279,14952,10284,14962,10284,14981,10282,14983,10282,14988,10279,14990,10277,14995,10277,15000,10267,15010,10265,15014,10258,15024,10248,15034,10238,15046,10224,15065,10219,15072,10214,15082,10212,15089,10212,15096,10306,15096,10307,15077,10234,15077,10240,15067,10248,15057,10257,15047,10267,15036,10274,15026,10282,15019,10284,15014,10291,15007,10296,14998,10298,14995,10301,14990,10303,14988,10303,14981,10306,14978,10306,14957,10301,14947,10294,14942xm10308,15062l10298,15062,10296,15065,10296,15070,10291,15074,10289,15074,10286,15077,10307,15077,10308,15062xm10277,14933l10248,14933,10241,14935,10231,14938,10224,14940,10214,14945,10214,14966,10229,14966,10234,14950,10243,14942,10294,14942,10286,14935,10277,14933xe" filled="true" fillcolor="#000000" stroked="false">
          <v:path arrowok="t"/>
          <v:fill type="solid"/>
          <w10:wrap type="none"/>
        </v:shape>
      </w:pict>
    </w:r>
    <w:r>
      <w:rPr/>
      <w:pict>
        <v:shape style="position:absolute;margin-left:517.320007pt;margin-top:746.640015pt;width:4.8pt;height:8.2pt;mso-position-horizontal-relative:page;mso-position-vertical-relative:page;z-index:-71776" coordorigin="10346,14933" coordsize="96,164" path="m10442,15086l10354,15086,10354,15096,10442,15096,10442,15086xm10423,15084l10373,15084,10370,15086,10428,15086,10423,15084xm10409,14962l10385,14962,10387,14964,10387,15077,10380,15084,10418,15084,10416,15082,10414,15082,10414,15079,10411,15079,10411,15074,10409,15072,10409,14962xm10411,14933l10404,14933,10346,14966,10354,14976,10358,14971,10366,14966,10375,14962,10409,14962,10409,14940,10411,14933xe" filled="true" fillcolor="#000000" stroked="false">
          <v:path arrowok="t"/>
          <v:fill type="solid"/>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00012pt;margin-top:746.400024pt;width:4.8pt;height:8.550pt;mso-position-horizontal-relative:page;mso-position-vertical-relative:page;z-index:-71752" coordorigin="10344,14928" coordsize="96,171" path="m10358,15065l10344,15065,10344,15089,10355,15093,10366,15096,10376,15098,10387,15098,10397,15098,10406,15096,10416,15091,10423,15089,10380,15089,10375,15086,10370,15082,10366,15079,10361,15072,10358,15065xm10428,15014l10399,15014,10409,15019,10411,15024,10416,15029,10418,15036,10418,15062,10416,15072,10406,15086,10399,15089,10423,15089,10430,15082,10435,15074,10438,15067,10440,15058,10440,15038,10435,15024,10430,15017,10428,15014xm10435,14928l10426,14928,10426,14933,10423,14933,10423,14935,10351,14935,10351,15014,10361,15019,10366,15017,10370,15017,10375,15014,10428,15014,10426,15012,10418,15007,10368,15007,10368,14954,10435,14954,10435,14928xm10404,15002l10382,15002,10378,15005,10373,15005,10368,15007,10418,15007,10404,15002xe" filled="true" fillcolor="#000000" stroked="false">
          <v:path arrowok="t"/>
          <v:fill type="solid"/>
          <w10:wrap type="none"/>
        </v:shape>
      </w:pict>
    </w:r>
    <w:r>
      <w:rPr/>
      <w:pict>
        <v:shape style="position:absolute;margin-left:510.600006pt;margin-top:746.640015pt;width:4.8pt;height:8.2pt;mso-position-horizontal-relative:page;mso-position-vertical-relative:page;z-index:-71728" coordorigin="10212,14933" coordsize="96,164" path="m10294,14942l10270,14942,10272,14947,10277,14950,10279,14952,10284,14962,10284,14981,10282,14983,10282,14988,10279,14990,10277,14995,10277,15000,10267,15010,10265,15014,10258,15024,10248,15034,10238,15046,10224,15065,10219,15072,10214,15082,10212,15089,10212,15096,10306,15096,10307,15077,10234,15077,10240,15067,10248,15057,10257,15047,10267,15036,10274,15026,10282,15019,10284,15014,10291,15007,10296,14998,10298,14995,10301,14990,10303,14988,10303,14981,10306,14978,10306,14957,10301,14947,10294,14942xm10308,15062l10298,15062,10296,15065,10296,15070,10291,15074,10289,15074,10286,15077,10307,15077,10308,15062xm10277,14933l10248,14933,10241,14935,10231,14938,10224,14940,10214,14945,10214,14966,10229,14966,10234,14950,10243,14942,10294,14942,10286,14935,10277,14933xe" filled="true" fillcolor="#000000" stroked="false">
          <v:path arrowok="t"/>
          <v:fill type="solid"/>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63751">
          <wp:simplePos x="0" y="0"/>
          <wp:positionH relativeFrom="page">
            <wp:posOffset>6565392</wp:posOffset>
          </wp:positionH>
          <wp:positionV relativeFrom="page">
            <wp:posOffset>9482328</wp:posOffset>
          </wp:positionV>
          <wp:extent cx="67055" cy="105156"/>
          <wp:effectExtent l="0" t="0" r="0" b="0"/>
          <wp:wrapNone/>
          <wp:docPr id="17" name="image10.png" descr=""/>
          <wp:cNvGraphicFramePr>
            <a:graphicFrameLocks noChangeAspect="1"/>
          </wp:cNvGraphicFramePr>
          <a:graphic>
            <a:graphicData uri="http://schemas.openxmlformats.org/drawingml/2006/picture">
              <pic:pic>
                <pic:nvPicPr>
                  <pic:cNvPr id="18" name="image10.png"/>
                  <pic:cNvPicPr/>
                </pic:nvPicPr>
                <pic:blipFill>
                  <a:blip r:embed="rId1" cstate="print"/>
                  <a:stretch>
                    <a:fillRect/>
                  </a:stretch>
                </pic:blipFill>
                <pic:spPr>
                  <a:xfrm>
                    <a:off x="0" y="0"/>
                    <a:ext cx="67055" cy="105156"/>
                  </a:xfrm>
                  <a:prstGeom prst="rect">
                    <a:avLst/>
                  </a:prstGeom>
                </pic:spPr>
              </pic:pic>
            </a:graphicData>
          </a:graphic>
        </wp:anchor>
      </w:drawing>
    </w:r>
    <w:r>
      <w:rPr/>
      <w:pict>
        <v:shape style="position:absolute;margin-left:510.600006pt;margin-top:746.640015pt;width:4.8pt;height:8.2pt;mso-position-horizontal-relative:page;mso-position-vertical-relative:page;z-index:-71680" coordorigin="10212,14933" coordsize="96,164" path="m10294,14942l10270,14942,10272,14947,10277,14950,10279,14952,10284,14962,10284,14981,10282,14983,10282,14988,10279,14990,10277,14995,10277,15000,10267,15010,10265,15014,10258,15024,10248,15034,10238,15046,10224,15065,10219,15072,10214,15082,10212,15089,10212,15096,10306,15096,10307,15077,10234,15077,10240,15067,10248,15057,10257,15047,10267,15036,10274,15026,10282,15019,10284,15014,10291,15007,10296,14998,10298,14995,10301,14990,10303,14988,10303,14981,10306,14978,10306,14957,10301,14947,10294,14942xm10308,15062l10298,15062,10296,15065,10296,15070,10291,15074,10289,15074,10286,15077,10307,15077,10308,15062xm10277,14933l10248,14933,10241,14935,10231,14938,10224,14940,10214,14945,10214,14966,10229,14966,10234,14950,10243,14942,10294,14942,10286,14935,10277,14933xe" filled="true" fillcolor="#000000" stroked="false">
          <v:path arrowok="t"/>
          <v:fill type="solid"/>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600006pt;margin-top:746.640015pt;width:4.8pt;height:8.3pt;mso-position-horizontal-relative:page;mso-position-vertical-relative:page;z-index:-71656" coordorigin="10212,14933" coordsize="96,166" path="m10226,15065l10212,15065,10212,15091,10219,15094,10226,15094,10241,15098,10267,15098,10277,15096,10284,15091,10291,15089,10248,15089,10241,15086,10236,15084,10234,15079,10229,15072,10226,15065xm10296,14942l10265,14942,10272,14945,10282,14954,10284,14962,10284,14978,10282,14983,10279,14990,10270,15000,10262,15002,10255,15007,10246,15010,10236,15010,10236,15019,10260,15019,10270,15022,10282,15034,10286,15043,10286,15067,10284,15074,10272,15086,10265,15089,10291,15089,10298,15082,10301,15074,10306,15067,10308,15060,10308,15046,10306,15041,10306,15036,10301,15026,10296,15024,10294,15019,10289,15017,10286,15014,10282,15014,10277,15012,10272,15012,10272,15010,10279,15007,10286,15002,10291,14998,10296,14995,10303,14981,10306,14974,10306,14959,10301,14950,10296,14942xm10270,14933l10248,14933,10238,14935,10224,14940,10214,14945,10214,14966,10229,14966,10234,14952,10238,14947,10243,14945,10250,14942,10296,14942,10291,14940,10284,14938,10279,14935,10270,14933xe" filled="true" fillcolor="#000000" stroked="false">
          <v:path arrowok="t"/>
          <v:fill type="solid"/>
          <w10:wrap type="none"/>
        </v:shape>
      </w:pict>
    </w:r>
    <w:r>
      <w:rPr/>
      <w:drawing>
        <wp:anchor distT="0" distB="0" distL="0" distR="0" allowOverlap="1" layoutInCell="1" locked="0" behindDoc="1" simplePos="0" relativeHeight="268363823">
          <wp:simplePos x="0" y="0"/>
          <wp:positionH relativeFrom="page">
            <wp:posOffset>6566916</wp:posOffset>
          </wp:positionH>
          <wp:positionV relativeFrom="page">
            <wp:posOffset>9482328</wp:posOffset>
          </wp:positionV>
          <wp:extent cx="64008" cy="105156"/>
          <wp:effectExtent l="0" t="0" r="0" b="0"/>
          <wp:wrapNone/>
          <wp:docPr id="19" name="image4.png" descr=""/>
          <wp:cNvGraphicFramePr>
            <a:graphicFrameLocks noChangeAspect="1"/>
          </wp:cNvGraphicFramePr>
          <a:graphic>
            <a:graphicData uri="http://schemas.openxmlformats.org/drawingml/2006/picture">
              <pic:pic>
                <pic:nvPicPr>
                  <pic:cNvPr id="20" name="image4.png"/>
                  <pic:cNvPicPr/>
                </pic:nvPicPr>
                <pic:blipFill>
                  <a:blip r:embed="rId1" cstate="print"/>
                  <a:stretch>
                    <a:fillRect/>
                  </a:stretch>
                </pic:blipFill>
                <pic:spPr>
                  <a:xfrm>
                    <a:off x="0" y="0"/>
                    <a:ext cx="64008" cy="105156"/>
                  </a:xfrm>
                  <a:prstGeom prst="rect">
                    <a:avLst/>
                  </a:prstGeom>
                </pic:spPr>
              </pic:pic>
            </a:graphicData>
          </a:graphic>
        </wp:anchor>
      </w:drawing>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63415">
          <wp:simplePos x="0" y="0"/>
          <wp:positionH relativeFrom="page">
            <wp:posOffset>6563868</wp:posOffset>
          </wp:positionH>
          <wp:positionV relativeFrom="page">
            <wp:posOffset>9482328</wp:posOffset>
          </wp:positionV>
          <wp:extent cx="67055" cy="105156"/>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1" cstate="print"/>
                  <a:stretch>
                    <a:fillRect/>
                  </a:stretch>
                </pic:blipFill>
                <pic:spPr>
                  <a:xfrm>
                    <a:off x="0" y="0"/>
                    <a:ext cx="67055" cy="105156"/>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89.959999pt;margin-top:707.156006pt;width:433.6pt;height:14pt;mso-position-horizontal-relative:page;mso-position-vertical-relative:page;z-index:-72016" type="#_x0000_t202" filled="false" stroked="false">
          <v:textbox inset="0,0,0,0">
            <w:txbxContent>
              <w:p>
                <w:pPr>
                  <w:pStyle w:val="BodyText"/>
                  <w:spacing w:line="232" w:lineRule="exact"/>
                  <w:ind w:left="20"/>
                </w:pPr>
                <w:r>
                  <w:rPr>
                    <w:w w:val="110"/>
                  </w:rPr>
                  <w:t>informed medical personnel.   The coaches were using the well-known and </w:t>
                </w:r>
                <w:r>
                  <w:rPr>
                    <w:spacing w:val="59"/>
                    <w:w w:val="110"/>
                  </w:rPr>
                  <w:t> </w:t>
                </w:r>
                <w:r>
                  <w:rPr>
                    <w:w w:val="110"/>
                  </w:rPr>
                  <w:t>tried</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600006pt;margin-top:746.640015pt;width:4.8pt;height:8.3pt;mso-position-horizontal-relative:page;mso-position-vertical-relative:page;z-index:-71608" coordorigin="10212,14933" coordsize="96,166" path="m10226,15065l10212,15065,10212,15091,10219,15094,10226,15094,10241,15098,10267,15098,10277,15096,10284,15091,10291,15089,10248,15089,10241,15086,10236,15084,10234,15079,10229,15072,10226,15065xm10296,14942l10265,14942,10272,14945,10282,14954,10284,14962,10284,14978,10282,14983,10279,14990,10270,15000,10262,15002,10255,15007,10246,15010,10236,15010,10236,15019,10260,15019,10270,15022,10282,15034,10286,15043,10286,15067,10284,15074,10272,15086,10265,15089,10291,15089,10298,15082,10301,15074,10306,15067,10308,15060,10308,15046,10306,15041,10306,15036,10301,15026,10296,15024,10294,15019,10289,15017,10286,15014,10282,15014,10277,15012,10272,15012,10272,15010,10279,15007,10286,15002,10291,14998,10296,14995,10303,14981,10306,14974,10306,14959,10301,14950,10296,14942xm10270,14933l10248,14933,10238,14935,10224,14940,10214,14945,10214,14966,10229,14966,10234,14952,10238,14947,10243,14945,10250,14942,10296,14942,10291,14940,10284,14938,10279,14935,10270,14933xe" filled="true" fillcolor="#000000" stroked="false">
          <v:path arrowok="t"/>
          <v:fill type="solid"/>
          <w10:wrap type="none"/>
        </v:shape>
      </w:pict>
    </w:r>
    <w:r>
      <w:rPr/>
      <w:pict>
        <v:shape style="position:absolute;margin-left:517.200012pt;margin-top:746.400024pt;width:4.8pt;height:8.550pt;mso-position-horizontal-relative:page;mso-position-vertical-relative:page;z-index:-71584" coordorigin="10344,14928" coordsize="96,171" path="m10358,15065l10344,15065,10344,15089,10355,15093,10366,15096,10376,15098,10387,15098,10397,15098,10406,15096,10416,15091,10423,15089,10380,15089,10375,15086,10370,15082,10366,15079,10361,15072,10358,15065xm10428,15014l10399,15014,10409,15019,10411,15024,10416,15029,10418,15036,10418,15062,10416,15072,10406,15086,10399,15089,10423,15089,10430,15082,10435,15074,10438,15067,10440,15058,10440,15038,10435,15024,10430,15017,10428,15014xm10435,14928l10426,14928,10426,14933,10423,14933,10423,14935,10351,14935,10351,15014,10361,15019,10366,15017,10370,15017,10375,15014,10428,15014,10426,15012,10418,15007,10368,15007,10368,14954,10435,14954,10435,14928xm10404,15002l10382,15002,10378,15005,10373,15005,10368,15007,10418,15007,10404,15002xe" filled="true" fillcolor="#000000" stroked="false">
          <v:path arrowok="t"/>
          <v:fill type="solid"/>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63895">
          <wp:simplePos x="0" y="0"/>
          <wp:positionH relativeFrom="page">
            <wp:posOffset>6480047</wp:posOffset>
          </wp:positionH>
          <wp:positionV relativeFrom="page">
            <wp:posOffset>9482328</wp:posOffset>
          </wp:positionV>
          <wp:extent cx="150875" cy="105156"/>
          <wp:effectExtent l="0" t="0" r="0" b="0"/>
          <wp:wrapNone/>
          <wp:docPr id="27" name="image56.png" descr=""/>
          <wp:cNvGraphicFramePr>
            <a:graphicFrameLocks noChangeAspect="1"/>
          </wp:cNvGraphicFramePr>
          <a:graphic>
            <a:graphicData uri="http://schemas.openxmlformats.org/drawingml/2006/picture">
              <pic:pic>
                <pic:nvPicPr>
                  <pic:cNvPr id="28" name="image56.png"/>
                  <pic:cNvPicPr/>
                </pic:nvPicPr>
                <pic:blipFill>
                  <a:blip r:embed="rId1" cstate="print"/>
                  <a:stretch>
                    <a:fillRect/>
                  </a:stretch>
                </pic:blipFill>
                <pic:spPr>
                  <a:xfrm>
                    <a:off x="0" y="0"/>
                    <a:ext cx="150875" cy="105156"/>
                  </a:xfrm>
                  <a:prstGeom prst="rect">
                    <a:avLst/>
                  </a:prstGeom>
                </pic:spPr>
              </pic:pic>
            </a:graphicData>
          </a:graphic>
        </wp:anchor>
      </w:drawing>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600006pt;margin-top:746.400024pt;width:4.8pt;height:8.550pt;mso-position-horizontal-relative:page;mso-position-vertical-relative:page;z-index:-71536" coordorigin="10212,14928" coordsize="96,171" path="m10226,15065l10212,15065,10212,15089,10223,15093,10233,15096,10243,15098,10253,15098,10265,15098,10274,15096,10282,15091,10291,15089,10248,15089,10241,15086,10236,15082,10231,15079,10226,15065xm10296,15014l10267,15014,10272,15017,10279,15024,10282,15029,10286,15043,10286,15062,10284,15072,10279,15079,10272,15086,10265,15089,10291,15089,10306,15067,10308,15058,10308,15038,10303,15024,10298,15017,10296,15014xm10303,14928l10294,14928,10294,14930,10289,14935,10219,14935,10219,15014,10229,15019,10234,15017,10238,15017,10241,15014,10296,15014,10294,15012,10286,15007,10236,15007,10236,14954,10301,14954,10303,14928xm10272,15002l10248,15002,10243,15005,10241,15005,10236,15007,10286,15007,10272,15002xe" filled="true" fillcolor="#000000" stroked="false">
          <v:path arrowok="t"/>
          <v:fill type="solid"/>
          <w10:wrap type="none"/>
        </v:shape>
      </w:pict>
    </w:r>
    <w:r>
      <w:rPr/>
      <w:drawing>
        <wp:anchor distT="0" distB="0" distL="0" distR="0" allowOverlap="1" layoutInCell="1" locked="0" behindDoc="1" simplePos="0" relativeHeight="268363943">
          <wp:simplePos x="0" y="0"/>
          <wp:positionH relativeFrom="page">
            <wp:posOffset>6566916</wp:posOffset>
          </wp:positionH>
          <wp:positionV relativeFrom="page">
            <wp:posOffset>9482328</wp:posOffset>
          </wp:positionV>
          <wp:extent cx="64008" cy="105156"/>
          <wp:effectExtent l="0" t="0" r="0" b="0"/>
          <wp:wrapNone/>
          <wp:docPr id="29" name="image4.png" descr=""/>
          <wp:cNvGraphicFramePr>
            <a:graphicFrameLocks noChangeAspect="1"/>
          </wp:cNvGraphicFramePr>
          <a:graphic>
            <a:graphicData uri="http://schemas.openxmlformats.org/drawingml/2006/picture">
              <pic:pic>
                <pic:nvPicPr>
                  <pic:cNvPr id="30" name="image4.png"/>
                  <pic:cNvPicPr/>
                </pic:nvPicPr>
                <pic:blipFill>
                  <a:blip r:embed="rId1" cstate="print"/>
                  <a:stretch>
                    <a:fillRect/>
                  </a:stretch>
                </pic:blipFill>
                <pic:spPr>
                  <a:xfrm>
                    <a:off x="0" y="0"/>
                    <a:ext cx="64008" cy="105156"/>
                  </a:xfrm>
                  <a:prstGeom prst="rect">
                    <a:avLst/>
                  </a:prstGeom>
                </pic:spPr>
              </pic:pic>
            </a:graphicData>
          </a:graphic>
        </wp:anchor>
      </w:drawing>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600006pt;margin-top:746.400024pt;width:4.8pt;height:8.550pt;mso-position-horizontal-relative:page;mso-position-vertical-relative:page;z-index:-71488" coordorigin="10212,14928" coordsize="96,171" path="m10226,15065l10212,15065,10212,15089,10223,15093,10233,15096,10243,15098,10253,15098,10265,15098,10274,15096,10282,15091,10291,15089,10248,15089,10241,15086,10236,15082,10231,15079,10226,15065xm10296,15014l10267,15014,10272,15017,10279,15024,10282,15029,10286,15043,10286,15062,10284,15072,10279,15079,10272,15086,10265,15089,10291,15089,10306,15067,10308,15058,10308,15038,10303,15024,10298,15017,10296,15014xm10303,14928l10294,14928,10294,14930,10289,14935,10219,14935,10219,15014,10229,15019,10234,15017,10238,15017,10241,15014,10296,15014,10294,15012,10286,15007,10236,15007,10236,14954,10301,14954,10303,14928xm10272,15002l10248,15002,10243,15005,10241,15005,10236,15007,10286,15007,10272,15002xe" filled="true" fillcolor="#000000" stroked="false">
          <v:path arrowok="t"/>
          <v:fill type="solid"/>
          <w10:wrap type="none"/>
        </v:shape>
      </w:pict>
    </w:r>
    <w:r>
      <w:rPr/>
      <w:pict>
        <v:shape style="position:absolute;margin-left:517.200012pt;margin-top:746.640015pt;width:4.8pt;height:8.2pt;mso-position-horizontal-relative:page;mso-position-vertical-relative:page;z-index:-71464" coordorigin="10344,14933" coordsize="96,164" path="m10428,14942l10402,14942,10411,14952,10416,14962,10416,14983,10414,14988,10414,14990,10406,15005,10397,15014,10392,15024,10382,15034,10373,15046,10363,15055,10358,15065,10354,15072,10349,15082,10344,15089,10344,15096,10438,15096,10439,15077,10368,15077,10374,15067,10381,15057,10389,15047,10399,15036,10409,15026,10414,15019,10416,15014,10423,15007,10426,15002,10433,14995,10433,14990,10435,14988,10435,14983,10438,14981,10438,14957,10435,14947,10428,14942xm10440,15062l10430,15062,10430,15065,10428,15067,10428,15072,10426,15072,10426,15074,10421,15074,10418,15077,10439,15077,10440,15062xm10409,14933l10382,14933,10373,14935,10366,14938,10356,14940,10346,14945,10346,14966,10361,14966,10366,14950,10375,14942,10428,14942,10421,14935,10409,14933xe" filled="true" fillcolor="#000000" stroked="false">
          <v:path arrowok="t"/>
          <v:fill type="solid"/>
          <w10:wrap type="none"/>
        </v:shape>
      </w:pict>
    </w:r>
    <w:r>
      <w:rPr/>
      <w:pict>
        <v:shape style="position:absolute;margin-left:88.959999pt;margin-top:710.357849pt;width:26.9pt;height:12pt;mso-position-horizontal-relative:page;mso-position-vertical-relative:page;z-index:-71440" type="#_x0000_t202" filled="false" stroked="false">
          <v:textbox inset="0,0,0,0">
            <w:txbxContent>
              <w:p>
                <w:pPr>
                  <w:spacing w:line="211" w:lineRule="exact" w:before="0"/>
                  <w:ind w:left="40" w:right="0" w:firstLine="0"/>
                  <w:jc w:val="left"/>
                  <w:rPr>
                    <w:rFonts w:ascii="Palatino Linotype"/>
                    <w:i/>
                    <w:sz w:val="19"/>
                  </w:rPr>
                </w:pPr>
                <w:r>
                  <w:rPr/>
                  <w:fldChar w:fldCharType="begin"/>
                </w:r>
                <w:r>
                  <w:rPr>
                    <w:position w:val="5"/>
                    <w:sz w:val="13"/>
                  </w:rPr>
                  <w:instrText> PAGE </w:instrText>
                </w:r>
                <w:r>
                  <w:rPr/>
                  <w:fldChar w:fldCharType="separate"/>
                </w:r>
                <w:r>
                  <w:rPr/>
                  <w:t>7</w:t>
                </w:r>
                <w:r>
                  <w:rPr/>
                  <w:fldChar w:fldCharType="end"/>
                </w:r>
                <w:r>
                  <w:rPr>
                    <w:position w:val="5"/>
                    <w:sz w:val="13"/>
                  </w:rPr>
                  <w:t> </w:t>
                </w:r>
                <w:r>
                  <w:rPr>
                    <w:rFonts w:ascii="Palatino Linotype"/>
                    <w:i/>
                    <w:sz w:val="19"/>
                  </w:rPr>
                  <w:t>Ibid.</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600006pt;margin-top:746.400024pt;width:4.8pt;height:8.550pt;mso-position-horizontal-relative:page;mso-position-vertical-relative:page;z-index:-71416" coordorigin="10212,14928" coordsize="96,171" path="m10226,15065l10212,15065,10212,15089,10223,15093,10233,15096,10243,15098,10253,15098,10265,15098,10274,15096,10282,15091,10291,15089,10248,15089,10241,15086,10236,15082,10231,15079,10226,15065xm10296,15014l10267,15014,10272,15017,10279,15024,10282,15029,10286,15043,10286,15062,10284,15072,10279,15079,10272,15086,10265,15089,10291,15089,10306,15067,10308,15058,10308,15038,10303,15024,10298,15017,10296,15014xm10303,14928l10294,14928,10294,14930,10289,14935,10219,14935,10219,15014,10229,15019,10234,15017,10238,15017,10241,15014,10296,15014,10294,15012,10286,15007,10236,15007,10236,14954,10301,14954,10303,14928xm10272,15002l10248,15002,10243,15005,10241,15005,10236,15007,10286,15007,10272,15002xe" filled="true" fillcolor="#000000" stroked="false">
          <v:path arrowok="t"/>
          <v:fill type="solid"/>
          <w10:wrap type="none"/>
        </v:shape>
      </w:pict>
    </w:r>
    <w:r>
      <w:rPr/>
      <w:pict>
        <v:shape style="position:absolute;margin-left:517.200012pt;margin-top:746.400024pt;width:4.8pt;height:8.550pt;mso-position-horizontal-relative:page;mso-position-vertical-relative:page;z-index:-71392" coordorigin="10344,14928" coordsize="96,171" path="m10358,15065l10344,15065,10344,15089,10355,15093,10366,15096,10376,15098,10387,15098,10397,15098,10406,15096,10416,15091,10423,15089,10380,15089,10375,15086,10370,15082,10366,15079,10361,15072,10358,15065xm10428,15014l10399,15014,10409,15019,10411,15024,10416,15029,10418,15036,10418,15062,10416,15072,10406,15086,10399,15089,10423,15089,10430,15082,10435,15074,10438,15067,10440,15058,10440,15038,10435,15024,10430,15017,10428,15014xm10435,14928l10426,14928,10426,14933,10423,14933,10423,14935,10351,14935,10351,15014,10361,15019,10366,15017,10370,15017,10375,15014,10428,15014,10426,15012,10418,15007,10368,15007,10368,14954,10435,14954,10435,14928xm10404,15002l10382,15002,10378,15005,10373,15005,10368,15007,10418,15007,10404,15002xe" filled="true" fillcolor="#000000" stroked="false">
          <v:path arrowok="t"/>
          <v:fill type="solid"/>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64087">
          <wp:simplePos x="0" y="0"/>
          <wp:positionH relativeFrom="page">
            <wp:posOffset>6483096</wp:posOffset>
          </wp:positionH>
          <wp:positionV relativeFrom="page">
            <wp:posOffset>9482328</wp:posOffset>
          </wp:positionV>
          <wp:extent cx="146304" cy="105156"/>
          <wp:effectExtent l="0" t="0" r="0" b="0"/>
          <wp:wrapNone/>
          <wp:docPr id="35" name="image90.png" descr=""/>
          <wp:cNvGraphicFramePr>
            <a:graphicFrameLocks noChangeAspect="1"/>
          </wp:cNvGraphicFramePr>
          <a:graphic>
            <a:graphicData uri="http://schemas.openxmlformats.org/drawingml/2006/picture">
              <pic:pic>
                <pic:nvPicPr>
                  <pic:cNvPr id="36" name="image90.png"/>
                  <pic:cNvPicPr/>
                </pic:nvPicPr>
                <pic:blipFill>
                  <a:blip r:embed="rId1" cstate="print"/>
                  <a:stretch>
                    <a:fillRect/>
                  </a:stretch>
                </pic:blipFill>
                <pic:spPr>
                  <a:xfrm>
                    <a:off x="0" y="0"/>
                    <a:ext cx="146304" cy="105156"/>
                  </a:xfrm>
                  <a:prstGeom prst="rect">
                    <a:avLst/>
                  </a:prstGeom>
                </pic:spPr>
              </pic:pic>
            </a:graphicData>
          </a:graphic>
        </wp:anchor>
      </w:drawing>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63463">
          <wp:simplePos x="0" y="0"/>
          <wp:positionH relativeFrom="page">
            <wp:posOffset>6563868</wp:posOffset>
          </wp:positionH>
          <wp:positionV relativeFrom="page">
            <wp:posOffset>9482328</wp:posOffset>
          </wp:positionV>
          <wp:extent cx="65532" cy="105156"/>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1" cstate="print"/>
                  <a:stretch>
                    <a:fillRect/>
                  </a:stretch>
                </pic:blipFill>
                <pic:spPr>
                  <a:xfrm>
                    <a:off x="0" y="0"/>
                    <a:ext cx="65532" cy="105156"/>
                  </a:xfrm>
                  <a:prstGeom prst="rect">
                    <a:avLst/>
                  </a:prstGeom>
                </pic:spPr>
              </pic:pic>
            </a:graphicData>
          </a:graphic>
        </wp:anchor>
      </w:drawing>
    </w:r>
    <w:r>
      <w:rPr/>
      <w:pict>
        <v:shape style="position:absolute;margin-left:89.959999pt;margin-top:707.156006pt;width:433.6pt;height:14pt;mso-position-horizontal-relative:page;mso-position-vertical-relative:page;z-index:-71968" type="#_x0000_t202" filled="false" stroked="false">
          <v:textbox inset="0,0,0,0">
            <w:txbxContent>
              <w:p>
                <w:pPr>
                  <w:pStyle w:val="BodyText"/>
                  <w:spacing w:line="232" w:lineRule="exact"/>
                  <w:ind w:left="20"/>
                </w:pPr>
                <w:r>
                  <w:rPr>
                    <w:w w:val="110"/>
                  </w:rPr>
                  <w:t>concealing positive doping results than had been publically described for   Sochi.</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64111">
          <wp:simplePos x="0" y="0"/>
          <wp:positionH relativeFrom="page">
            <wp:posOffset>6484620</wp:posOffset>
          </wp:positionH>
          <wp:positionV relativeFrom="page">
            <wp:posOffset>9482328</wp:posOffset>
          </wp:positionV>
          <wp:extent cx="144780" cy="103632"/>
          <wp:effectExtent l="0" t="0" r="0" b="0"/>
          <wp:wrapNone/>
          <wp:docPr id="39" name="image100.png" descr=""/>
          <wp:cNvGraphicFramePr>
            <a:graphicFrameLocks noChangeAspect="1"/>
          </wp:cNvGraphicFramePr>
          <a:graphic>
            <a:graphicData uri="http://schemas.openxmlformats.org/drawingml/2006/picture">
              <pic:pic>
                <pic:nvPicPr>
                  <pic:cNvPr id="40" name="image100.png"/>
                  <pic:cNvPicPr/>
                </pic:nvPicPr>
                <pic:blipFill>
                  <a:blip r:embed="rId1" cstate="print"/>
                  <a:stretch>
                    <a:fillRect/>
                  </a:stretch>
                </pic:blipFill>
                <pic:spPr>
                  <a:xfrm>
                    <a:off x="0" y="0"/>
                    <a:ext cx="144780" cy="103632"/>
                  </a:xfrm>
                  <a:prstGeom prst="rect">
                    <a:avLst/>
                  </a:prstGeom>
                </pic:spPr>
              </pic:pic>
            </a:graphicData>
          </a:graphic>
        </wp:anchor>
      </w:drawing>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64135">
          <wp:simplePos x="0" y="0"/>
          <wp:positionH relativeFrom="page">
            <wp:posOffset>6481571</wp:posOffset>
          </wp:positionH>
          <wp:positionV relativeFrom="page">
            <wp:posOffset>9482328</wp:posOffset>
          </wp:positionV>
          <wp:extent cx="67056" cy="105156"/>
          <wp:effectExtent l="0" t="0" r="0" b="0"/>
          <wp:wrapNone/>
          <wp:docPr id="41" name="image2.png" descr=""/>
          <wp:cNvGraphicFramePr>
            <a:graphicFrameLocks noChangeAspect="1"/>
          </wp:cNvGraphicFramePr>
          <a:graphic>
            <a:graphicData uri="http://schemas.openxmlformats.org/drawingml/2006/picture">
              <pic:pic>
                <pic:nvPicPr>
                  <pic:cNvPr id="42" name="image2.png"/>
                  <pic:cNvPicPr/>
                </pic:nvPicPr>
                <pic:blipFill>
                  <a:blip r:embed="rId1" cstate="print"/>
                  <a:stretch>
                    <a:fillRect/>
                  </a:stretch>
                </pic:blipFill>
                <pic:spPr>
                  <a:xfrm>
                    <a:off x="0" y="0"/>
                    <a:ext cx="67056" cy="105156"/>
                  </a:xfrm>
                  <a:prstGeom prst="rect">
                    <a:avLst/>
                  </a:prstGeom>
                </pic:spPr>
              </pic:pic>
            </a:graphicData>
          </a:graphic>
        </wp:anchor>
      </w:drawing>
    </w:r>
    <w:r>
      <w:rPr/>
      <w:pict>
        <v:shape style="position:absolute;margin-left:517.320007pt;margin-top:746.640015pt;width:4.8pt;height:8.2pt;mso-position-horizontal-relative:page;mso-position-vertical-relative:page;z-index:-71296" coordorigin="10346,14933" coordsize="96,164" path="m10442,15086l10354,15086,10354,15096,10442,15096,10442,15086xm10423,15084l10373,15084,10370,15086,10428,15086,10423,15084xm10409,14962l10385,14962,10387,14964,10387,15077,10380,15084,10418,15084,10416,15082,10414,15082,10414,15079,10411,15079,10411,15074,10409,15072,10409,14962xm10411,14933l10404,14933,10346,14966,10354,14976,10358,14971,10366,14966,10375,14962,10409,14962,10409,14940,10411,14933xe" filled="true" fillcolor="#000000" stroked="false">
          <v:path arrowok="t"/>
          <v:fill type="solid"/>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64183">
          <wp:simplePos x="0" y="0"/>
          <wp:positionH relativeFrom="page">
            <wp:posOffset>6481571</wp:posOffset>
          </wp:positionH>
          <wp:positionV relativeFrom="page">
            <wp:posOffset>9482328</wp:posOffset>
          </wp:positionV>
          <wp:extent cx="150876" cy="105156"/>
          <wp:effectExtent l="0" t="0" r="0" b="0"/>
          <wp:wrapNone/>
          <wp:docPr id="47" name="image103.png" descr=""/>
          <wp:cNvGraphicFramePr>
            <a:graphicFrameLocks noChangeAspect="1"/>
          </wp:cNvGraphicFramePr>
          <a:graphic>
            <a:graphicData uri="http://schemas.openxmlformats.org/drawingml/2006/picture">
              <pic:pic>
                <pic:nvPicPr>
                  <pic:cNvPr id="48" name="image103.png"/>
                  <pic:cNvPicPr/>
                </pic:nvPicPr>
                <pic:blipFill>
                  <a:blip r:embed="rId1" cstate="print"/>
                  <a:stretch>
                    <a:fillRect/>
                  </a:stretch>
                </pic:blipFill>
                <pic:spPr>
                  <a:xfrm>
                    <a:off x="0" y="0"/>
                    <a:ext cx="150876" cy="105156"/>
                  </a:xfrm>
                  <a:prstGeom prst="rect">
                    <a:avLst/>
                  </a:prstGeom>
                </pic:spPr>
              </pic:pic>
            </a:graphicData>
          </a:graphic>
        </wp:anchor>
      </w:drawing>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64207">
          <wp:simplePos x="0" y="0"/>
          <wp:positionH relativeFrom="page">
            <wp:posOffset>6481571</wp:posOffset>
          </wp:positionH>
          <wp:positionV relativeFrom="page">
            <wp:posOffset>9482328</wp:posOffset>
          </wp:positionV>
          <wp:extent cx="65531" cy="105156"/>
          <wp:effectExtent l="0" t="0" r="0" b="0"/>
          <wp:wrapNone/>
          <wp:docPr id="49" name="image104.png" descr=""/>
          <wp:cNvGraphicFramePr>
            <a:graphicFrameLocks noChangeAspect="1"/>
          </wp:cNvGraphicFramePr>
          <a:graphic>
            <a:graphicData uri="http://schemas.openxmlformats.org/drawingml/2006/picture">
              <pic:pic>
                <pic:nvPicPr>
                  <pic:cNvPr id="50" name="image104.png"/>
                  <pic:cNvPicPr/>
                </pic:nvPicPr>
                <pic:blipFill>
                  <a:blip r:embed="rId1" cstate="print"/>
                  <a:stretch>
                    <a:fillRect/>
                  </a:stretch>
                </pic:blipFill>
                <pic:spPr>
                  <a:xfrm>
                    <a:off x="0" y="0"/>
                    <a:ext cx="65531" cy="105156"/>
                  </a:xfrm>
                  <a:prstGeom prst="rect">
                    <a:avLst/>
                  </a:prstGeom>
                </pic:spPr>
              </pic:pic>
            </a:graphicData>
          </a:graphic>
        </wp:anchor>
      </w:drawing>
    </w:r>
    <w:r>
      <w:rPr/>
      <w:drawing>
        <wp:anchor distT="0" distB="0" distL="0" distR="0" allowOverlap="1" layoutInCell="1" locked="0" behindDoc="1" simplePos="0" relativeHeight="268364231">
          <wp:simplePos x="0" y="0"/>
          <wp:positionH relativeFrom="page">
            <wp:posOffset>6566916</wp:posOffset>
          </wp:positionH>
          <wp:positionV relativeFrom="page">
            <wp:posOffset>9482328</wp:posOffset>
          </wp:positionV>
          <wp:extent cx="64008" cy="105156"/>
          <wp:effectExtent l="0" t="0" r="0" b="0"/>
          <wp:wrapNone/>
          <wp:docPr id="51" name="image4.png" descr=""/>
          <wp:cNvGraphicFramePr>
            <a:graphicFrameLocks noChangeAspect="1"/>
          </wp:cNvGraphicFramePr>
          <a:graphic>
            <a:graphicData uri="http://schemas.openxmlformats.org/drawingml/2006/picture">
              <pic:pic>
                <pic:nvPicPr>
                  <pic:cNvPr id="52" name="image4.png"/>
                  <pic:cNvPicPr/>
                </pic:nvPicPr>
                <pic:blipFill>
                  <a:blip r:embed="rId2" cstate="print"/>
                  <a:stretch>
                    <a:fillRect/>
                  </a:stretch>
                </pic:blipFill>
                <pic:spPr>
                  <a:xfrm>
                    <a:off x="0" y="0"/>
                    <a:ext cx="64008" cy="105156"/>
                  </a:xfrm>
                  <a:prstGeom prst="rect">
                    <a:avLst/>
                  </a:prstGeom>
                </pic:spPr>
              </pic:pic>
            </a:graphicData>
          </a:graphic>
        </wp:anchor>
      </w:drawing>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64255">
          <wp:simplePos x="0" y="0"/>
          <wp:positionH relativeFrom="page">
            <wp:posOffset>6481571</wp:posOffset>
          </wp:positionH>
          <wp:positionV relativeFrom="page">
            <wp:posOffset>9482328</wp:posOffset>
          </wp:positionV>
          <wp:extent cx="65531" cy="105156"/>
          <wp:effectExtent l="0" t="0" r="0" b="0"/>
          <wp:wrapNone/>
          <wp:docPr id="55" name="image104.png" descr=""/>
          <wp:cNvGraphicFramePr>
            <a:graphicFrameLocks noChangeAspect="1"/>
          </wp:cNvGraphicFramePr>
          <a:graphic>
            <a:graphicData uri="http://schemas.openxmlformats.org/drawingml/2006/picture">
              <pic:pic>
                <pic:nvPicPr>
                  <pic:cNvPr id="56" name="image104.png"/>
                  <pic:cNvPicPr/>
                </pic:nvPicPr>
                <pic:blipFill>
                  <a:blip r:embed="rId1" cstate="print"/>
                  <a:stretch>
                    <a:fillRect/>
                  </a:stretch>
                </pic:blipFill>
                <pic:spPr>
                  <a:xfrm>
                    <a:off x="0" y="0"/>
                    <a:ext cx="65531" cy="105156"/>
                  </a:xfrm>
                  <a:prstGeom prst="rect">
                    <a:avLst/>
                  </a:prstGeom>
                </pic:spPr>
              </pic:pic>
            </a:graphicData>
          </a:graphic>
        </wp:anchor>
      </w:drawing>
    </w:r>
    <w:r>
      <w:rPr/>
      <w:pict>
        <v:shape style="position:absolute;margin-left:517.200012pt;margin-top:746.400024pt;width:4.8pt;height:8.550pt;mso-position-horizontal-relative:page;mso-position-vertical-relative:page;z-index:-71176" coordorigin="10344,14928" coordsize="96,171" path="m10358,15065l10344,15065,10344,15089,10355,15093,10366,15096,10376,15098,10387,15098,10397,15098,10406,15096,10416,15091,10423,15089,10380,15089,10375,15086,10370,15082,10366,15079,10361,15072,10358,15065xm10428,15014l10399,15014,10409,15019,10411,15024,10416,15029,10418,15036,10418,15062,10416,15072,10406,15086,10399,15089,10423,15089,10430,15082,10435,15074,10438,15067,10440,15058,10440,15038,10435,15024,10430,15017,10428,15014xm10435,14928l10426,14928,10426,14933,10423,14933,10423,14935,10351,14935,10351,15014,10361,15019,10366,15017,10370,15017,10375,15014,10428,15014,10426,15012,10418,15007,10368,15007,10368,14954,10435,14954,10435,14928xm10404,15002l10382,15002,10378,15005,10373,15005,10368,15007,10418,15007,10404,15002xe" filled="true" fillcolor="#000000" stroked="false">
          <v:path arrowok="t"/>
          <v:fill type="solid"/>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63511">
          <wp:simplePos x="0" y="0"/>
          <wp:positionH relativeFrom="page">
            <wp:posOffset>6566916</wp:posOffset>
          </wp:positionH>
          <wp:positionV relativeFrom="page">
            <wp:posOffset>9482328</wp:posOffset>
          </wp:positionV>
          <wp:extent cx="64008" cy="105156"/>
          <wp:effectExtent l="0" t="0" r="0" b="0"/>
          <wp:wrapNone/>
          <wp:docPr id="7" name="image4.png" descr=""/>
          <wp:cNvGraphicFramePr>
            <a:graphicFrameLocks noChangeAspect="1"/>
          </wp:cNvGraphicFramePr>
          <a:graphic>
            <a:graphicData uri="http://schemas.openxmlformats.org/drawingml/2006/picture">
              <pic:pic>
                <pic:nvPicPr>
                  <pic:cNvPr id="8" name="image4.png"/>
                  <pic:cNvPicPr/>
                </pic:nvPicPr>
                <pic:blipFill>
                  <a:blip r:embed="rId1" cstate="print"/>
                  <a:stretch>
                    <a:fillRect/>
                  </a:stretch>
                </pic:blipFill>
                <pic:spPr>
                  <a:xfrm>
                    <a:off x="0" y="0"/>
                    <a:ext cx="64008" cy="105156"/>
                  </a:xfrm>
                  <a:prstGeom prst="rect">
                    <a:avLst/>
                  </a:prstGeom>
                </pic:spPr>
              </pic:pic>
            </a:graphicData>
          </a:graphic>
        </wp:anchor>
      </w:drawing>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720001pt;margin-top:746.640015pt;width:4.8pt;height:8.2pt;mso-position-horizontal-relative:page;mso-position-vertical-relative:page;z-index:-71920" coordorigin="10214,14933" coordsize="96,164" path="m10310,15086l10222,15086,10222,15096,10310,15096,10310,15086xm10291,15084l10241,15084,10236,15086,10296,15086,10291,15084xm10277,14962l10253,14962,10253,14964,10255,14964,10255,15074,10253,15077,10253,15079,10250,15079,10250,15082,10248,15084,10286,15084,10284,15082,10282,15082,10277,15077,10277,14962xm10277,14933l10270,14933,10214,14966,10219,14976,10234,14966,10243,14962,10277,14962,10277,14933xe" filled="true" fillcolor="#000000" stroked="false">
          <v:path arrowok="t"/>
          <v:fill type="solid"/>
          <w10:wrap type="none"/>
        </v:shape>
      </w:pict>
    </w:r>
    <w:r>
      <w:rPr/>
      <w:pict>
        <v:shape style="position:absolute;margin-left:517.320007pt;margin-top:746.640015pt;width:4.8pt;height:8.2pt;mso-position-horizontal-relative:page;mso-position-vertical-relative:page;z-index:-71896" coordorigin="10346,14933" coordsize="96,164" path="m10442,15086l10354,15086,10354,15096,10442,15096,10442,15086xm10423,15084l10373,15084,10370,15086,10428,15086,10423,15084xm10409,14962l10385,14962,10387,14964,10387,15077,10380,15084,10418,15084,10416,15082,10414,15082,10414,15079,10411,15079,10411,15074,10409,15072,10409,14962xm10411,14933l10404,14933,10346,14966,10354,14976,10358,14971,10366,14966,10375,14962,10409,14962,10409,14940,10411,14933xe" filled="true" fillcolor="#000000" stroked="false">
          <v:path arrowok="t"/>
          <v:fill type="solid"/>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00012pt;margin-top:746.400024pt;width:4.8pt;height:8.550pt;mso-position-horizontal-relative:page;mso-position-vertical-relative:page;z-index:-71872" coordorigin="10344,14928" coordsize="96,171" path="m10358,15065l10344,15065,10344,15089,10355,15093,10366,15096,10376,15098,10387,15098,10397,15098,10406,15096,10416,15091,10423,15089,10380,15089,10375,15086,10370,15082,10366,15079,10361,15072,10358,15065xm10428,15014l10399,15014,10409,15019,10411,15024,10416,15029,10418,15036,10418,15062,10416,15072,10406,15086,10399,15089,10423,15089,10430,15082,10435,15074,10438,15067,10440,15058,10440,15038,10435,15024,10430,15017,10428,15014xm10435,14928l10426,14928,10426,14933,10423,14933,10423,14935,10351,14935,10351,15014,10361,15019,10366,15017,10370,15017,10375,15014,10428,15014,10426,15012,10418,15007,10368,15007,10368,14954,10435,14954,10435,14928xm10404,15002l10382,15002,10378,15005,10373,15005,10368,15007,10418,15007,10404,15002xe" filled="true" fillcolor="#000000" stroked="false">
          <v:path arrowok="t"/>
          <v:fill type="solid"/>
          <w10:wrap type="none"/>
        </v:shape>
      </w:pict>
    </w:r>
    <w:r>
      <w:rPr/>
      <w:pict>
        <v:shape style="position:absolute;margin-left:510.720001pt;margin-top:746.640015pt;width:4.8pt;height:8.2pt;mso-position-horizontal-relative:page;mso-position-vertical-relative:page;z-index:-71848" coordorigin="10214,14933" coordsize="96,164" path="m10310,15086l10222,15086,10222,15096,10310,15096,10310,15086xm10291,15084l10241,15084,10236,15086,10296,15086,10291,15084xm10277,14962l10253,14962,10253,14964,10255,14964,10255,15074,10253,15077,10253,15079,10250,15079,10250,15082,10248,15084,10286,15084,10284,15082,10282,15082,10277,15077,10277,14962xm10277,14933l10270,14933,10214,14966,10219,14976,10234,14966,10243,14962,10277,14962,10277,14933xe" filled="true" fillcolor="#000000" stroked="false">
          <v:path arrowok="t"/>
          <v:fill type="solid"/>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1">
    <w:multiLevelType w:val="hybridMultilevel"/>
    <w:lvl w:ilvl="0">
      <w:start w:val="1"/>
      <w:numFmt w:val="bullet"/>
      <w:lvlText w:val="-"/>
      <w:lvlJc w:val="left"/>
      <w:pPr>
        <w:ind w:left="119" w:hanging="143"/>
      </w:pPr>
      <w:rPr>
        <w:rFonts w:hint="default" w:ascii="Times New Roman" w:hAnsi="Times New Roman" w:eastAsia="Times New Roman" w:cs="Times New Roman"/>
        <w:w w:val="99"/>
        <w:sz w:val="24"/>
        <w:szCs w:val="24"/>
      </w:rPr>
    </w:lvl>
    <w:lvl w:ilvl="1">
      <w:start w:val="1"/>
      <w:numFmt w:val="bullet"/>
      <w:lvlText w:val="•"/>
      <w:lvlJc w:val="left"/>
      <w:pPr>
        <w:ind w:left="994" w:hanging="143"/>
      </w:pPr>
      <w:rPr>
        <w:rFonts w:hint="default"/>
      </w:rPr>
    </w:lvl>
    <w:lvl w:ilvl="2">
      <w:start w:val="1"/>
      <w:numFmt w:val="bullet"/>
      <w:lvlText w:val="•"/>
      <w:lvlJc w:val="left"/>
      <w:pPr>
        <w:ind w:left="1868" w:hanging="143"/>
      </w:pPr>
      <w:rPr>
        <w:rFonts w:hint="default"/>
      </w:rPr>
    </w:lvl>
    <w:lvl w:ilvl="3">
      <w:start w:val="1"/>
      <w:numFmt w:val="bullet"/>
      <w:lvlText w:val="•"/>
      <w:lvlJc w:val="left"/>
      <w:pPr>
        <w:ind w:left="2742" w:hanging="143"/>
      </w:pPr>
      <w:rPr>
        <w:rFonts w:hint="default"/>
      </w:rPr>
    </w:lvl>
    <w:lvl w:ilvl="4">
      <w:start w:val="1"/>
      <w:numFmt w:val="bullet"/>
      <w:lvlText w:val="•"/>
      <w:lvlJc w:val="left"/>
      <w:pPr>
        <w:ind w:left="3616" w:hanging="143"/>
      </w:pPr>
      <w:rPr>
        <w:rFonts w:hint="default"/>
      </w:rPr>
    </w:lvl>
    <w:lvl w:ilvl="5">
      <w:start w:val="1"/>
      <w:numFmt w:val="bullet"/>
      <w:lvlText w:val="•"/>
      <w:lvlJc w:val="left"/>
      <w:pPr>
        <w:ind w:left="4490" w:hanging="143"/>
      </w:pPr>
      <w:rPr>
        <w:rFonts w:hint="default"/>
      </w:rPr>
    </w:lvl>
    <w:lvl w:ilvl="6">
      <w:start w:val="1"/>
      <w:numFmt w:val="bullet"/>
      <w:lvlText w:val="•"/>
      <w:lvlJc w:val="left"/>
      <w:pPr>
        <w:ind w:left="5364" w:hanging="143"/>
      </w:pPr>
      <w:rPr>
        <w:rFonts w:hint="default"/>
      </w:rPr>
    </w:lvl>
    <w:lvl w:ilvl="7">
      <w:start w:val="1"/>
      <w:numFmt w:val="bullet"/>
      <w:lvlText w:val="•"/>
      <w:lvlJc w:val="left"/>
      <w:pPr>
        <w:ind w:left="6238" w:hanging="143"/>
      </w:pPr>
      <w:rPr>
        <w:rFonts w:hint="default"/>
      </w:rPr>
    </w:lvl>
    <w:lvl w:ilvl="8">
      <w:start w:val="1"/>
      <w:numFmt w:val="bullet"/>
      <w:lvlText w:val="•"/>
      <w:lvlJc w:val="left"/>
      <w:pPr>
        <w:ind w:left="7112" w:hanging="143"/>
      </w:pPr>
      <w:rPr>
        <w:rFonts w:hint="default"/>
      </w:rPr>
    </w:lvl>
  </w:abstractNum>
  <w:abstractNum w:abstractNumId="30">
    <w:multiLevelType w:val="hybridMultilevel"/>
    <w:lvl w:ilvl="0">
      <w:start w:val="1"/>
      <w:numFmt w:val="decimal"/>
      <w:lvlText w:val="%1."/>
      <w:lvlJc w:val="left"/>
      <w:pPr>
        <w:ind w:left="358" w:hanging="240"/>
        <w:jc w:val="left"/>
      </w:pPr>
      <w:rPr>
        <w:rFonts w:hint="default" w:ascii="Times New Roman" w:hAnsi="Times New Roman" w:eastAsia="Times New Roman" w:cs="Times New Roman"/>
        <w:spacing w:val="-1"/>
        <w:w w:val="100"/>
        <w:sz w:val="24"/>
        <w:szCs w:val="24"/>
      </w:rPr>
    </w:lvl>
    <w:lvl w:ilvl="1">
      <w:start w:val="1"/>
      <w:numFmt w:val="bullet"/>
      <w:lvlText w:val="•"/>
      <w:lvlJc w:val="left"/>
      <w:pPr>
        <w:ind w:left="1210" w:hanging="240"/>
      </w:pPr>
      <w:rPr>
        <w:rFonts w:hint="default"/>
      </w:rPr>
    </w:lvl>
    <w:lvl w:ilvl="2">
      <w:start w:val="1"/>
      <w:numFmt w:val="bullet"/>
      <w:lvlText w:val="•"/>
      <w:lvlJc w:val="left"/>
      <w:pPr>
        <w:ind w:left="2060" w:hanging="240"/>
      </w:pPr>
      <w:rPr>
        <w:rFonts w:hint="default"/>
      </w:rPr>
    </w:lvl>
    <w:lvl w:ilvl="3">
      <w:start w:val="1"/>
      <w:numFmt w:val="bullet"/>
      <w:lvlText w:val="•"/>
      <w:lvlJc w:val="left"/>
      <w:pPr>
        <w:ind w:left="2910" w:hanging="240"/>
      </w:pPr>
      <w:rPr>
        <w:rFonts w:hint="default"/>
      </w:rPr>
    </w:lvl>
    <w:lvl w:ilvl="4">
      <w:start w:val="1"/>
      <w:numFmt w:val="bullet"/>
      <w:lvlText w:val="•"/>
      <w:lvlJc w:val="left"/>
      <w:pPr>
        <w:ind w:left="3760" w:hanging="240"/>
      </w:pPr>
      <w:rPr>
        <w:rFonts w:hint="default"/>
      </w:rPr>
    </w:lvl>
    <w:lvl w:ilvl="5">
      <w:start w:val="1"/>
      <w:numFmt w:val="bullet"/>
      <w:lvlText w:val="•"/>
      <w:lvlJc w:val="left"/>
      <w:pPr>
        <w:ind w:left="4610" w:hanging="240"/>
      </w:pPr>
      <w:rPr>
        <w:rFonts w:hint="default"/>
      </w:rPr>
    </w:lvl>
    <w:lvl w:ilvl="6">
      <w:start w:val="1"/>
      <w:numFmt w:val="bullet"/>
      <w:lvlText w:val="•"/>
      <w:lvlJc w:val="left"/>
      <w:pPr>
        <w:ind w:left="5460" w:hanging="240"/>
      </w:pPr>
      <w:rPr>
        <w:rFonts w:hint="default"/>
      </w:rPr>
    </w:lvl>
    <w:lvl w:ilvl="7">
      <w:start w:val="1"/>
      <w:numFmt w:val="bullet"/>
      <w:lvlText w:val="•"/>
      <w:lvlJc w:val="left"/>
      <w:pPr>
        <w:ind w:left="6310" w:hanging="240"/>
      </w:pPr>
      <w:rPr>
        <w:rFonts w:hint="default"/>
      </w:rPr>
    </w:lvl>
    <w:lvl w:ilvl="8">
      <w:start w:val="1"/>
      <w:numFmt w:val="bullet"/>
      <w:lvlText w:val="•"/>
      <w:lvlJc w:val="left"/>
      <w:pPr>
        <w:ind w:left="7160" w:hanging="240"/>
      </w:pPr>
      <w:rPr>
        <w:rFonts w:hint="default"/>
      </w:rPr>
    </w:lvl>
  </w:abstractNum>
  <w:abstractNum w:abstractNumId="29">
    <w:multiLevelType w:val="hybridMultilevel"/>
    <w:lvl w:ilvl="0">
      <w:start w:val="1"/>
      <w:numFmt w:val="decimal"/>
      <w:lvlText w:val="%1."/>
      <w:lvlJc w:val="left"/>
      <w:pPr>
        <w:ind w:left="839" w:hanging="361"/>
        <w:jc w:val="left"/>
      </w:pPr>
      <w:rPr>
        <w:rFonts w:hint="default" w:ascii="Palatino Linotype" w:hAnsi="Palatino Linotype" w:eastAsia="Palatino Linotype" w:cs="Palatino Linotype"/>
        <w:spacing w:val="-4"/>
        <w:w w:val="99"/>
        <w:sz w:val="24"/>
        <w:szCs w:val="24"/>
      </w:rPr>
    </w:lvl>
    <w:lvl w:ilvl="1">
      <w:start w:val="1"/>
      <w:numFmt w:val="decimal"/>
      <w:lvlText w:val="%2."/>
      <w:lvlJc w:val="left"/>
      <w:pPr>
        <w:ind w:left="1199" w:hanging="360"/>
        <w:jc w:val="left"/>
      </w:pPr>
      <w:rPr>
        <w:rFonts w:hint="default" w:ascii="Palatino Linotype" w:hAnsi="Palatino Linotype" w:eastAsia="Palatino Linotype" w:cs="Palatino Linotype"/>
        <w:spacing w:val="-3"/>
        <w:w w:val="99"/>
        <w:sz w:val="24"/>
        <w:szCs w:val="24"/>
      </w:rPr>
    </w:lvl>
    <w:lvl w:ilvl="2">
      <w:start w:val="1"/>
      <w:numFmt w:val="bullet"/>
      <w:lvlText w:val="•"/>
      <w:lvlJc w:val="left"/>
      <w:pPr>
        <w:ind w:left="2051" w:hanging="360"/>
      </w:pPr>
      <w:rPr>
        <w:rFonts w:hint="default"/>
      </w:rPr>
    </w:lvl>
    <w:lvl w:ilvl="3">
      <w:start w:val="1"/>
      <w:numFmt w:val="bullet"/>
      <w:lvlText w:val="•"/>
      <w:lvlJc w:val="left"/>
      <w:pPr>
        <w:ind w:left="2902" w:hanging="360"/>
      </w:pPr>
      <w:rPr>
        <w:rFonts w:hint="default"/>
      </w:rPr>
    </w:lvl>
    <w:lvl w:ilvl="4">
      <w:start w:val="1"/>
      <w:numFmt w:val="bullet"/>
      <w:lvlText w:val="•"/>
      <w:lvlJc w:val="left"/>
      <w:pPr>
        <w:ind w:left="3753" w:hanging="360"/>
      </w:pPr>
      <w:rPr>
        <w:rFonts w:hint="default"/>
      </w:rPr>
    </w:lvl>
    <w:lvl w:ilvl="5">
      <w:start w:val="1"/>
      <w:numFmt w:val="bullet"/>
      <w:lvlText w:val="•"/>
      <w:lvlJc w:val="left"/>
      <w:pPr>
        <w:ind w:left="4604" w:hanging="360"/>
      </w:pPr>
      <w:rPr>
        <w:rFonts w:hint="default"/>
      </w:rPr>
    </w:lvl>
    <w:lvl w:ilvl="6">
      <w:start w:val="1"/>
      <w:numFmt w:val="bullet"/>
      <w:lvlText w:val="•"/>
      <w:lvlJc w:val="left"/>
      <w:pPr>
        <w:ind w:left="5455" w:hanging="360"/>
      </w:pPr>
      <w:rPr>
        <w:rFonts w:hint="default"/>
      </w:rPr>
    </w:lvl>
    <w:lvl w:ilvl="7">
      <w:start w:val="1"/>
      <w:numFmt w:val="bullet"/>
      <w:lvlText w:val="•"/>
      <w:lvlJc w:val="left"/>
      <w:pPr>
        <w:ind w:left="6306" w:hanging="360"/>
      </w:pPr>
      <w:rPr>
        <w:rFonts w:hint="default"/>
      </w:rPr>
    </w:lvl>
    <w:lvl w:ilvl="8">
      <w:start w:val="1"/>
      <w:numFmt w:val="bullet"/>
      <w:lvlText w:val="•"/>
      <w:lvlJc w:val="left"/>
      <w:pPr>
        <w:ind w:left="7157" w:hanging="360"/>
      </w:pPr>
      <w:rPr>
        <w:rFonts w:hint="default"/>
      </w:rPr>
    </w:lvl>
  </w:abstractNum>
  <w:abstractNum w:abstractNumId="28">
    <w:multiLevelType w:val="hybridMultilevel"/>
    <w:lvl w:ilvl="0">
      <w:start w:val="1"/>
      <w:numFmt w:val="decimal"/>
      <w:lvlText w:val="%1."/>
      <w:lvlJc w:val="left"/>
      <w:pPr>
        <w:ind w:left="839" w:hanging="361"/>
        <w:jc w:val="left"/>
      </w:pPr>
      <w:rPr>
        <w:rFonts w:hint="default" w:ascii="Palatino Linotype" w:hAnsi="Palatino Linotype" w:eastAsia="Palatino Linotype" w:cs="Palatino Linotype"/>
        <w:spacing w:val="-4"/>
        <w:w w:val="99"/>
        <w:sz w:val="24"/>
        <w:szCs w:val="24"/>
      </w:rPr>
    </w:lvl>
    <w:lvl w:ilvl="1">
      <w:start w:val="1"/>
      <w:numFmt w:val="bullet"/>
      <w:lvlText w:val="•"/>
      <w:lvlJc w:val="left"/>
      <w:pPr>
        <w:ind w:left="1642" w:hanging="361"/>
      </w:pPr>
      <w:rPr>
        <w:rFonts w:hint="default"/>
      </w:rPr>
    </w:lvl>
    <w:lvl w:ilvl="2">
      <w:start w:val="1"/>
      <w:numFmt w:val="bullet"/>
      <w:lvlText w:val="•"/>
      <w:lvlJc w:val="left"/>
      <w:pPr>
        <w:ind w:left="2444" w:hanging="361"/>
      </w:pPr>
      <w:rPr>
        <w:rFonts w:hint="default"/>
      </w:rPr>
    </w:lvl>
    <w:lvl w:ilvl="3">
      <w:start w:val="1"/>
      <w:numFmt w:val="bullet"/>
      <w:lvlText w:val="•"/>
      <w:lvlJc w:val="left"/>
      <w:pPr>
        <w:ind w:left="3246" w:hanging="361"/>
      </w:pPr>
      <w:rPr>
        <w:rFonts w:hint="default"/>
      </w:rPr>
    </w:lvl>
    <w:lvl w:ilvl="4">
      <w:start w:val="1"/>
      <w:numFmt w:val="bullet"/>
      <w:lvlText w:val="•"/>
      <w:lvlJc w:val="left"/>
      <w:pPr>
        <w:ind w:left="4048" w:hanging="361"/>
      </w:pPr>
      <w:rPr>
        <w:rFonts w:hint="default"/>
      </w:rPr>
    </w:lvl>
    <w:lvl w:ilvl="5">
      <w:start w:val="1"/>
      <w:numFmt w:val="bullet"/>
      <w:lvlText w:val="•"/>
      <w:lvlJc w:val="left"/>
      <w:pPr>
        <w:ind w:left="4850" w:hanging="361"/>
      </w:pPr>
      <w:rPr>
        <w:rFonts w:hint="default"/>
      </w:rPr>
    </w:lvl>
    <w:lvl w:ilvl="6">
      <w:start w:val="1"/>
      <w:numFmt w:val="bullet"/>
      <w:lvlText w:val="•"/>
      <w:lvlJc w:val="left"/>
      <w:pPr>
        <w:ind w:left="5652" w:hanging="361"/>
      </w:pPr>
      <w:rPr>
        <w:rFonts w:hint="default"/>
      </w:rPr>
    </w:lvl>
    <w:lvl w:ilvl="7">
      <w:start w:val="1"/>
      <w:numFmt w:val="bullet"/>
      <w:lvlText w:val="•"/>
      <w:lvlJc w:val="left"/>
      <w:pPr>
        <w:ind w:left="6454" w:hanging="361"/>
      </w:pPr>
      <w:rPr>
        <w:rFonts w:hint="default"/>
      </w:rPr>
    </w:lvl>
    <w:lvl w:ilvl="8">
      <w:start w:val="1"/>
      <w:numFmt w:val="bullet"/>
      <w:lvlText w:val="•"/>
      <w:lvlJc w:val="left"/>
      <w:pPr>
        <w:ind w:left="7256" w:hanging="361"/>
      </w:pPr>
      <w:rPr>
        <w:rFonts w:hint="default"/>
      </w:rPr>
    </w:lvl>
  </w:abstractNum>
  <w:abstractNum w:abstractNumId="27">
    <w:multiLevelType w:val="hybridMultilevel"/>
    <w:lvl w:ilvl="0">
      <w:start w:val="1"/>
      <w:numFmt w:val="decimal"/>
      <w:lvlText w:val="%1."/>
      <w:lvlJc w:val="left"/>
      <w:pPr>
        <w:ind w:left="839" w:hanging="361"/>
        <w:jc w:val="left"/>
      </w:pPr>
      <w:rPr>
        <w:rFonts w:hint="default" w:ascii="Palatino Linotype" w:hAnsi="Palatino Linotype" w:eastAsia="Palatino Linotype" w:cs="Palatino Linotype"/>
        <w:spacing w:val="-5"/>
        <w:w w:val="99"/>
        <w:sz w:val="24"/>
        <w:szCs w:val="24"/>
      </w:rPr>
    </w:lvl>
    <w:lvl w:ilvl="1">
      <w:start w:val="1"/>
      <w:numFmt w:val="bullet"/>
      <w:lvlText w:val="•"/>
      <w:lvlJc w:val="left"/>
      <w:pPr>
        <w:ind w:left="1642" w:hanging="361"/>
      </w:pPr>
      <w:rPr>
        <w:rFonts w:hint="default"/>
      </w:rPr>
    </w:lvl>
    <w:lvl w:ilvl="2">
      <w:start w:val="1"/>
      <w:numFmt w:val="bullet"/>
      <w:lvlText w:val="•"/>
      <w:lvlJc w:val="left"/>
      <w:pPr>
        <w:ind w:left="2444" w:hanging="361"/>
      </w:pPr>
      <w:rPr>
        <w:rFonts w:hint="default"/>
      </w:rPr>
    </w:lvl>
    <w:lvl w:ilvl="3">
      <w:start w:val="1"/>
      <w:numFmt w:val="bullet"/>
      <w:lvlText w:val="•"/>
      <w:lvlJc w:val="left"/>
      <w:pPr>
        <w:ind w:left="3246" w:hanging="361"/>
      </w:pPr>
      <w:rPr>
        <w:rFonts w:hint="default"/>
      </w:rPr>
    </w:lvl>
    <w:lvl w:ilvl="4">
      <w:start w:val="1"/>
      <w:numFmt w:val="bullet"/>
      <w:lvlText w:val="•"/>
      <w:lvlJc w:val="left"/>
      <w:pPr>
        <w:ind w:left="4048" w:hanging="361"/>
      </w:pPr>
      <w:rPr>
        <w:rFonts w:hint="default"/>
      </w:rPr>
    </w:lvl>
    <w:lvl w:ilvl="5">
      <w:start w:val="1"/>
      <w:numFmt w:val="bullet"/>
      <w:lvlText w:val="•"/>
      <w:lvlJc w:val="left"/>
      <w:pPr>
        <w:ind w:left="4850" w:hanging="361"/>
      </w:pPr>
      <w:rPr>
        <w:rFonts w:hint="default"/>
      </w:rPr>
    </w:lvl>
    <w:lvl w:ilvl="6">
      <w:start w:val="1"/>
      <w:numFmt w:val="bullet"/>
      <w:lvlText w:val="•"/>
      <w:lvlJc w:val="left"/>
      <w:pPr>
        <w:ind w:left="5652" w:hanging="361"/>
      </w:pPr>
      <w:rPr>
        <w:rFonts w:hint="default"/>
      </w:rPr>
    </w:lvl>
    <w:lvl w:ilvl="7">
      <w:start w:val="1"/>
      <w:numFmt w:val="bullet"/>
      <w:lvlText w:val="•"/>
      <w:lvlJc w:val="left"/>
      <w:pPr>
        <w:ind w:left="6454" w:hanging="361"/>
      </w:pPr>
      <w:rPr>
        <w:rFonts w:hint="default"/>
      </w:rPr>
    </w:lvl>
    <w:lvl w:ilvl="8">
      <w:start w:val="1"/>
      <w:numFmt w:val="bullet"/>
      <w:lvlText w:val="•"/>
      <w:lvlJc w:val="left"/>
      <w:pPr>
        <w:ind w:left="7256" w:hanging="361"/>
      </w:pPr>
      <w:rPr>
        <w:rFonts w:hint="default"/>
      </w:rPr>
    </w:lvl>
  </w:abstractNum>
  <w:abstractNum w:abstractNumId="26">
    <w:multiLevelType w:val="hybridMultilevel"/>
    <w:lvl w:ilvl="0">
      <w:start w:val="2"/>
      <w:numFmt w:val="decimal"/>
      <w:lvlText w:val="%1."/>
      <w:lvlJc w:val="left"/>
      <w:pPr>
        <w:ind w:left="839" w:hanging="361"/>
        <w:jc w:val="left"/>
      </w:pPr>
      <w:rPr>
        <w:rFonts w:hint="default" w:ascii="Palatino Linotype" w:hAnsi="Palatino Linotype" w:eastAsia="Palatino Linotype" w:cs="Palatino Linotype"/>
        <w:spacing w:val="-20"/>
        <w:w w:val="99"/>
        <w:sz w:val="24"/>
        <w:szCs w:val="24"/>
      </w:rPr>
    </w:lvl>
    <w:lvl w:ilvl="1">
      <w:start w:val="1"/>
      <w:numFmt w:val="bullet"/>
      <w:lvlText w:val="•"/>
      <w:lvlJc w:val="left"/>
      <w:pPr>
        <w:ind w:left="1642" w:hanging="361"/>
      </w:pPr>
      <w:rPr>
        <w:rFonts w:hint="default"/>
      </w:rPr>
    </w:lvl>
    <w:lvl w:ilvl="2">
      <w:start w:val="1"/>
      <w:numFmt w:val="bullet"/>
      <w:lvlText w:val="•"/>
      <w:lvlJc w:val="left"/>
      <w:pPr>
        <w:ind w:left="2444" w:hanging="361"/>
      </w:pPr>
      <w:rPr>
        <w:rFonts w:hint="default"/>
      </w:rPr>
    </w:lvl>
    <w:lvl w:ilvl="3">
      <w:start w:val="1"/>
      <w:numFmt w:val="bullet"/>
      <w:lvlText w:val="•"/>
      <w:lvlJc w:val="left"/>
      <w:pPr>
        <w:ind w:left="3246" w:hanging="361"/>
      </w:pPr>
      <w:rPr>
        <w:rFonts w:hint="default"/>
      </w:rPr>
    </w:lvl>
    <w:lvl w:ilvl="4">
      <w:start w:val="1"/>
      <w:numFmt w:val="bullet"/>
      <w:lvlText w:val="•"/>
      <w:lvlJc w:val="left"/>
      <w:pPr>
        <w:ind w:left="4048" w:hanging="361"/>
      </w:pPr>
      <w:rPr>
        <w:rFonts w:hint="default"/>
      </w:rPr>
    </w:lvl>
    <w:lvl w:ilvl="5">
      <w:start w:val="1"/>
      <w:numFmt w:val="bullet"/>
      <w:lvlText w:val="•"/>
      <w:lvlJc w:val="left"/>
      <w:pPr>
        <w:ind w:left="4850" w:hanging="361"/>
      </w:pPr>
      <w:rPr>
        <w:rFonts w:hint="default"/>
      </w:rPr>
    </w:lvl>
    <w:lvl w:ilvl="6">
      <w:start w:val="1"/>
      <w:numFmt w:val="bullet"/>
      <w:lvlText w:val="•"/>
      <w:lvlJc w:val="left"/>
      <w:pPr>
        <w:ind w:left="5652" w:hanging="361"/>
      </w:pPr>
      <w:rPr>
        <w:rFonts w:hint="default"/>
      </w:rPr>
    </w:lvl>
    <w:lvl w:ilvl="7">
      <w:start w:val="1"/>
      <w:numFmt w:val="bullet"/>
      <w:lvlText w:val="•"/>
      <w:lvlJc w:val="left"/>
      <w:pPr>
        <w:ind w:left="6454" w:hanging="361"/>
      </w:pPr>
      <w:rPr>
        <w:rFonts w:hint="default"/>
      </w:rPr>
    </w:lvl>
    <w:lvl w:ilvl="8">
      <w:start w:val="1"/>
      <w:numFmt w:val="bullet"/>
      <w:lvlText w:val="•"/>
      <w:lvlJc w:val="left"/>
      <w:pPr>
        <w:ind w:left="7256" w:hanging="361"/>
      </w:pPr>
      <w:rPr>
        <w:rFonts w:hint="default"/>
      </w:rPr>
    </w:lvl>
  </w:abstractNum>
  <w:abstractNum w:abstractNumId="25">
    <w:multiLevelType w:val="hybridMultilevel"/>
    <w:lvl w:ilvl="0">
      <w:start w:val="6"/>
      <w:numFmt w:val="decimal"/>
      <w:lvlText w:val="%1"/>
      <w:lvlJc w:val="left"/>
      <w:pPr>
        <w:ind w:left="477" w:hanging="359"/>
        <w:jc w:val="left"/>
      </w:pPr>
      <w:rPr>
        <w:rFonts w:hint="default"/>
      </w:rPr>
    </w:lvl>
    <w:lvl w:ilvl="1">
      <w:start w:val="3"/>
      <w:numFmt w:val="decimal"/>
      <w:lvlText w:val="%1.%2"/>
      <w:lvlJc w:val="left"/>
      <w:pPr>
        <w:ind w:left="477" w:hanging="359"/>
        <w:jc w:val="left"/>
      </w:pPr>
      <w:rPr>
        <w:rFonts w:hint="default" w:ascii="Times New Roman" w:hAnsi="Times New Roman" w:eastAsia="Times New Roman" w:cs="Times New Roman"/>
        <w:spacing w:val="-1"/>
        <w:w w:val="100"/>
        <w:sz w:val="24"/>
        <w:szCs w:val="24"/>
      </w:rPr>
    </w:lvl>
    <w:lvl w:ilvl="2">
      <w:start w:val="1"/>
      <w:numFmt w:val="decimal"/>
      <w:lvlText w:val="%3."/>
      <w:lvlJc w:val="left"/>
      <w:pPr>
        <w:ind w:left="839" w:hanging="361"/>
        <w:jc w:val="left"/>
      </w:pPr>
      <w:rPr>
        <w:rFonts w:hint="default" w:ascii="Times New Roman" w:hAnsi="Times New Roman" w:eastAsia="Times New Roman" w:cs="Times New Roman"/>
        <w:spacing w:val="-14"/>
        <w:w w:val="94"/>
        <w:sz w:val="24"/>
        <w:szCs w:val="24"/>
      </w:rPr>
    </w:lvl>
    <w:lvl w:ilvl="3">
      <w:start w:val="1"/>
      <w:numFmt w:val="bullet"/>
      <w:lvlText w:val="•"/>
      <w:lvlJc w:val="left"/>
      <w:pPr>
        <w:ind w:left="2622" w:hanging="361"/>
      </w:pPr>
      <w:rPr>
        <w:rFonts w:hint="default"/>
      </w:rPr>
    </w:lvl>
    <w:lvl w:ilvl="4">
      <w:start w:val="1"/>
      <w:numFmt w:val="bullet"/>
      <w:lvlText w:val="•"/>
      <w:lvlJc w:val="left"/>
      <w:pPr>
        <w:ind w:left="3513" w:hanging="361"/>
      </w:pPr>
      <w:rPr>
        <w:rFonts w:hint="default"/>
      </w:rPr>
    </w:lvl>
    <w:lvl w:ilvl="5">
      <w:start w:val="1"/>
      <w:numFmt w:val="bullet"/>
      <w:lvlText w:val="•"/>
      <w:lvlJc w:val="left"/>
      <w:pPr>
        <w:ind w:left="4404" w:hanging="361"/>
      </w:pPr>
      <w:rPr>
        <w:rFonts w:hint="default"/>
      </w:rPr>
    </w:lvl>
    <w:lvl w:ilvl="6">
      <w:start w:val="1"/>
      <w:numFmt w:val="bullet"/>
      <w:lvlText w:val="•"/>
      <w:lvlJc w:val="left"/>
      <w:pPr>
        <w:ind w:left="5295" w:hanging="361"/>
      </w:pPr>
      <w:rPr>
        <w:rFonts w:hint="default"/>
      </w:rPr>
    </w:lvl>
    <w:lvl w:ilvl="7">
      <w:start w:val="1"/>
      <w:numFmt w:val="bullet"/>
      <w:lvlText w:val="•"/>
      <w:lvlJc w:val="left"/>
      <w:pPr>
        <w:ind w:left="6186" w:hanging="361"/>
      </w:pPr>
      <w:rPr>
        <w:rFonts w:hint="default"/>
      </w:rPr>
    </w:lvl>
    <w:lvl w:ilvl="8">
      <w:start w:val="1"/>
      <w:numFmt w:val="bullet"/>
      <w:lvlText w:val="•"/>
      <w:lvlJc w:val="left"/>
      <w:pPr>
        <w:ind w:left="7077" w:hanging="361"/>
      </w:pPr>
      <w:rPr>
        <w:rFonts w:hint="default"/>
      </w:rPr>
    </w:lvl>
  </w:abstractNum>
  <w:abstractNum w:abstractNumId="24">
    <w:multiLevelType w:val="hybridMultilevel"/>
    <w:lvl w:ilvl="0">
      <w:start w:val="6"/>
      <w:numFmt w:val="decimal"/>
      <w:lvlText w:val="%1"/>
      <w:lvlJc w:val="left"/>
      <w:pPr>
        <w:ind w:left="478" w:hanging="359"/>
        <w:jc w:val="left"/>
      </w:pPr>
      <w:rPr>
        <w:rFonts w:hint="default"/>
      </w:rPr>
    </w:lvl>
    <w:lvl w:ilvl="1">
      <w:start w:val="1"/>
      <w:numFmt w:val="decimal"/>
      <w:lvlText w:val="%1.%2"/>
      <w:lvlJc w:val="left"/>
      <w:pPr>
        <w:ind w:left="478" w:hanging="359"/>
        <w:jc w:val="left"/>
      </w:pPr>
      <w:rPr>
        <w:rFonts w:hint="default" w:ascii="Palatino Linotype" w:hAnsi="Palatino Linotype" w:eastAsia="Palatino Linotype" w:cs="Palatino Linotype"/>
        <w:spacing w:val="-1"/>
        <w:w w:val="100"/>
        <w:sz w:val="24"/>
        <w:szCs w:val="24"/>
      </w:rPr>
    </w:lvl>
    <w:lvl w:ilvl="2">
      <w:start w:val="1"/>
      <w:numFmt w:val="bullet"/>
      <w:lvlText w:val="•"/>
      <w:lvlJc w:val="left"/>
      <w:pPr>
        <w:ind w:left="1588" w:hanging="359"/>
      </w:pPr>
      <w:rPr>
        <w:rFonts w:hint="default"/>
      </w:rPr>
    </w:lvl>
    <w:lvl w:ilvl="3">
      <w:start w:val="1"/>
      <w:numFmt w:val="bullet"/>
      <w:lvlText w:val="•"/>
      <w:lvlJc w:val="left"/>
      <w:pPr>
        <w:ind w:left="2497" w:hanging="359"/>
      </w:pPr>
      <w:rPr>
        <w:rFonts w:hint="default"/>
      </w:rPr>
    </w:lvl>
    <w:lvl w:ilvl="4">
      <w:start w:val="1"/>
      <w:numFmt w:val="bullet"/>
      <w:lvlText w:val="•"/>
      <w:lvlJc w:val="left"/>
      <w:pPr>
        <w:ind w:left="3406" w:hanging="359"/>
      </w:pPr>
      <w:rPr>
        <w:rFonts w:hint="default"/>
      </w:rPr>
    </w:lvl>
    <w:lvl w:ilvl="5">
      <w:start w:val="1"/>
      <w:numFmt w:val="bullet"/>
      <w:lvlText w:val="•"/>
      <w:lvlJc w:val="left"/>
      <w:pPr>
        <w:ind w:left="4315" w:hanging="359"/>
      </w:pPr>
      <w:rPr>
        <w:rFonts w:hint="default"/>
      </w:rPr>
    </w:lvl>
    <w:lvl w:ilvl="6">
      <w:start w:val="1"/>
      <w:numFmt w:val="bullet"/>
      <w:lvlText w:val="•"/>
      <w:lvlJc w:val="left"/>
      <w:pPr>
        <w:ind w:left="5224" w:hanging="359"/>
      </w:pPr>
      <w:rPr>
        <w:rFonts w:hint="default"/>
      </w:rPr>
    </w:lvl>
    <w:lvl w:ilvl="7">
      <w:start w:val="1"/>
      <w:numFmt w:val="bullet"/>
      <w:lvlText w:val="•"/>
      <w:lvlJc w:val="left"/>
      <w:pPr>
        <w:ind w:left="6133" w:hanging="359"/>
      </w:pPr>
      <w:rPr>
        <w:rFonts w:hint="default"/>
      </w:rPr>
    </w:lvl>
    <w:lvl w:ilvl="8">
      <w:start w:val="1"/>
      <w:numFmt w:val="bullet"/>
      <w:lvlText w:val="•"/>
      <w:lvlJc w:val="left"/>
      <w:pPr>
        <w:ind w:left="7042" w:hanging="359"/>
      </w:pPr>
      <w:rPr>
        <w:rFonts w:hint="default"/>
      </w:rPr>
    </w:lvl>
  </w:abstractNum>
  <w:abstractNum w:abstractNumId="23">
    <w:multiLevelType w:val="hybridMultilevel"/>
    <w:lvl w:ilvl="0">
      <w:start w:val="5"/>
      <w:numFmt w:val="decimal"/>
      <w:lvlText w:val="%1"/>
      <w:lvlJc w:val="left"/>
      <w:pPr>
        <w:ind w:left="838" w:hanging="719"/>
        <w:jc w:val="left"/>
      </w:pPr>
      <w:rPr>
        <w:rFonts w:hint="default"/>
      </w:rPr>
    </w:lvl>
    <w:lvl w:ilvl="1">
      <w:start w:val="4"/>
      <w:numFmt w:val="decimal"/>
      <w:lvlText w:val="%1.%2"/>
      <w:lvlJc w:val="left"/>
      <w:pPr>
        <w:ind w:left="838" w:hanging="719"/>
        <w:jc w:val="left"/>
      </w:pPr>
      <w:rPr>
        <w:rFonts w:hint="default"/>
      </w:rPr>
    </w:lvl>
    <w:lvl w:ilvl="2">
      <w:start w:val="2"/>
      <w:numFmt w:val="decimal"/>
      <w:lvlText w:val="%1.%2.%3"/>
      <w:lvlJc w:val="left"/>
      <w:pPr>
        <w:ind w:left="838" w:hanging="719"/>
        <w:jc w:val="left"/>
      </w:pPr>
      <w:rPr>
        <w:rFonts w:hint="default"/>
      </w:rPr>
    </w:lvl>
    <w:lvl w:ilvl="3">
      <w:start w:val="1"/>
      <w:numFmt w:val="decimal"/>
      <w:lvlText w:val="%1.%2.%3.%4"/>
      <w:lvlJc w:val="left"/>
      <w:pPr>
        <w:ind w:left="838" w:hanging="719"/>
        <w:jc w:val="left"/>
      </w:pPr>
      <w:rPr>
        <w:rFonts w:hint="default" w:ascii="Palatino Linotype" w:hAnsi="Palatino Linotype" w:eastAsia="Palatino Linotype" w:cs="Palatino Linotype"/>
        <w:spacing w:val="-1"/>
        <w:w w:val="100"/>
        <w:sz w:val="24"/>
        <w:szCs w:val="24"/>
      </w:rPr>
    </w:lvl>
    <w:lvl w:ilvl="4">
      <w:start w:val="1"/>
      <w:numFmt w:val="decimal"/>
      <w:lvlText w:val="%5."/>
      <w:lvlJc w:val="left"/>
      <w:pPr>
        <w:ind w:left="839" w:hanging="361"/>
        <w:jc w:val="left"/>
      </w:pPr>
      <w:rPr>
        <w:rFonts w:hint="default" w:ascii="Georgia" w:hAnsi="Georgia" w:eastAsia="Georgia" w:cs="Georgia"/>
        <w:spacing w:val="-1"/>
        <w:w w:val="107"/>
        <w:sz w:val="24"/>
        <w:szCs w:val="24"/>
      </w:rPr>
    </w:lvl>
    <w:lvl w:ilvl="5">
      <w:start w:val="1"/>
      <w:numFmt w:val="bullet"/>
      <w:lvlText w:val="•"/>
      <w:lvlJc w:val="left"/>
      <w:pPr>
        <w:ind w:left="4850" w:hanging="361"/>
      </w:pPr>
      <w:rPr>
        <w:rFonts w:hint="default"/>
      </w:rPr>
    </w:lvl>
    <w:lvl w:ilvl="6">
      <w:start w:val="1"/>
      <w:numFmt w:val="bullet"/>
      <w:lvlText w:val="•"/>
      <w:lvlJc w:val="left"/>
      <w:pPr>
        <w:ind w:left="5652" w:hanging="361"/>
      </w:pPr>
      <w:rPr>
        <w:rFonts w:hint="default"/>
      </w:rPr>
    </w:lvl>
    <w:lvl w:ilvl="7">
      <w:start w:val="1"/>
      <w:numFmt w:val="bullet"/>
      <w:lvlText w:val="•"/>
      <w:lvlJc w:val="left"/>
      <w:pPr>
        <w:ind w:left="6454" w:hanging="361"/>
      </w:pPr>
      <w:rPr>
        <w:rFonts w:hint="default"/>
      </w:rPr>
    </w:lvl>
    <w:lvl w:ilvl="8">
      <w:start w:val="1"/>
      <w:numFmt w:val="bullet"/>
      <w:lvlText w:val="•"/>
      <w:lvlJc w:val="left"/>
      <w:pPr>
        <w:ind w:left="7256" w:hanging="361"/>
      </w:pPr>
      <w:rPr>
        <w:rFonts w:hint="default"/>
      </w:rPr>
    </w:lvl>
  </w:abstractNum>
  <w:abstractNum w:abstractNumId="22">
    <w:multiLevelType w:val="hybridMultilevel"/>
    <w:lvl w:ilvl="0">
      <w:start w:val="5"/>
      <w:numFmt w:val="decimal"/>
      <w:lvlText w:val="%1"/>
      <w:lvlJc w:val="left"/>
      <w:pPr>
        <w:ind w:left="478" w:hanging="360"/>
        <w:jc w:val="left"/>
      </w:pPr>
      <w:rPr>
        <w:rFonts w:hint="default"/>
      </w:rPr>
    </w:lvl>
    <w:lvl w:ilvl="1">
      <w:start w:val="4"/>
      <w:numFmt w:val="decimal"/>
      <w:lvlText w:val="%1.%2"/>
      <w:lvlJc w:val="left"/>
      <w:pPr>
        <w:ind w:left="478" w:hanging="360"/>
        <w:jc w:val="left"/>
      </w:pPr>
      <w:rPr>
        <w:rFonts w:hint="default" w:ascii="Palatino Linotype" w:hAnsi="Palatino Linotype" w:eastAsia="Palatino Linotype" w:cs="Palatino Linotype"/>
        <w:spacing w:val="-1"/>
        <w:w w:val="100"/>
        <w:sz w:val="24"/>
        <w:szCs w:val="24"/>
      </w:rPr>
    </w:lvl>
    <w:lvl w:ilvl="2">
      <w:start w:val="1"/>
      <w:numFmt w:val="decimal"/>
      <w:lvlText w:val="%1.%2.%3"/>
      <w:lvlJc w:val="left"/>
      <w:pPr>
        <w:ind w:left="658" w:hanging="540"/>
        <w:jc w:val="left"/>
      </w:pPr>
      <w:rPr>
        <w:rFonts w:hint="default" w:ascii="Palatino Linotype" w:hAnsi="Palatino Linotype" w:eastAsia="Palatino Linotype" w:cs="Palatino Linotype"/>
        <w:spacing w:val="-1"/>
        <w:w w:val="100"/>
        <w:sz w:val="24"/>
        <w:szCs w:val="24"/>
      </w:rPr>
    </w:lvl>
    <w:lvl w:ilvl="3">
      <w:start w:val="1"/>
      <w:numFmt w:val="decimal"/>
      <w:lvlText w:val="%1.%2.%3.%4"/>
      <w:lvlJc w:val="left"/>
      <w:pPr>
        <w:ind w:left="838" w:hanging="719"/>
        <w:jc w:val="left"/>
      </w:pPr>
      <w:rPr>
        <w:rFonts w:hint="default" w:ascii="Times New Roman" w:hAnsi="Times New Roman" w:eastAsia="Times New Roman" w:cs="Times New Roman"/>
        <w:i/>
        <w:spacing w:val="-1"/>
        <w:w w:val="100"/>
        <w:sz w:val="24"/>
        <w:szCs w:val="24"/>
      </w:rPr>
    </w:lvl>
    <w:lvl w:ilvl="4">
      <w:start w:val="1"/>
      <w:numFmt w:val="decimal"/>
      <w:lvlText w:val="%5."/>
      <w:lvlJc w:val="left"/>
      <w:pPr>
        <w:ind w:left="839" w:hanging="360"/>
        <w:jc w:val="left"/>
      </w:pPr>
      <w:rPr>
        <w:rFonts w:hint="default" w:ascii="Georgia" w:hAnsi="Georgia" w:eastAsia="Georgia" w:cs="Georgia"/>
        <w:spacing w:val="-2"/>
        <w:w w:val="92"/>
        <w:sz w:val="24"/>
        <w:szCs w:val="24"/>
      </w:rPr>
    </w:lvl>
    <w:lvl w:ilvl="5">
      <w:start w:val="1"/>
      <w:numFmt w:val="bullet"/>
      <w:lvlText w:val="•"/>
      <w:lvlJc w:val="left"/>
      <w:pPr>
        <w:ind w:left="3847" w:hanging="360"/>
      </w:pPr>
      <w:rPr>
        <w:rFonts w:hint="default"/>
      </w:rPr>
    </w:lvl>
    <w:lvl w:ilvl="6">
      <w:start w:val="1"/>
      <w:numFmt w:val="bullet"/>
      <w:lvlText w:val="•"/>
      <w:lvlJc w:val="left"/>
      <w:pPr>
        <w:ind w:left="4850" w:hanging="360"/>
      </w:pPr>
      <w:rPr>
        <w:rFonts w:hint="default"/>
      </w:rPr>
    </w:lvl>
    <w:lvl w:ilvl="7">
      <w:start w:val="1"/>
      <w:numFmt w:val="bullet"/>
      <w:lvlText w:val="•"/>
      <w:lvlJc w:val="left"/>
      <w:pPr>
        <w:ind w:left="5852" w:hanging="360"/>
      </w:pPr>
      <w:rPr>
        <w:rFonts w:hint="default"/>
      </w:rPr>
    </w:lvl>
    <w:lvl w:ilvl="8">
      <w:start w:val="1"/>
      <w:numFmt w:val="bullet"/>
      <w:lvlText w:val="•"/>
      <w:lvlJc w:val="left"/>
      <w:pPr>
        <w:ind w:left="6855" w:hanging="360"/>
      </w:pPr>
      <w:rPr>
        <w:rFonts w:hint="default"/>
      </w:rPr>
    </w:lvl>
  </w:abstractNum>
  <w:abstractNum w:abstractNumId="21">
    <w:multiLevelType w:val="hybridMultilevel"/>
    <w:lvl w:ilvl="0">
      <w:start w:val="5"/>
      <w:numFmt w:val="decimal"/>
      <w:lvlText w:val="%1"/>
      <w:lvlJc w:val="left"/>
      <w:pPr>
        <w:ind w:left="478" w:hanging="360"/>
        <w:jc w:val="left"/>
      </w:pPr>
      <w:rPr>
        <w:rFonts w:hint="default"/>
      </w:rPr>
    </w:lvl>
    <w:lvl w:ilvl="1">
      <w:start w:val="3"/>
      <w:numFmt w:val="decimal"/>
      <w:lvlText w:val="%1.%2"/>
      <w:lvlJc w:val="left"/>
      <w:pPr>
        <w:ind w:left="478" w:hanging="360"/>
        <w:jc w:val="left"/>
      </w:pPr>
      <w:rPr>
        <w:rFonts w:hint="default" w:ascii="Palatino Linotype" w:hAnsi="Palatino Linotype" w:eastAsia="Palatino Linotype" w:cs="Palatino Linotype"/>
        <w:spacing w:val="-1"/>
        <w:w w:val="100"/>
        <w:sz w:val="24"/>
        <w:szCs w:val="24"/>
      </w:rPr>
    </w:lvl>
    <w:lvl w:ilvl="2">
      <w:start w:val="1"/>
      <w:numFmt w:val="decimal"/>
      <w:lvlText w:val="%1.%2.%3"/>
      <w:lvlJc w:val="left"/>
      <w:pPr>
        <w:ind w:left="658" w:hanging="540"/>
        <w:jc w:val="left"/>
      </w:pPr>
      <w:rPr>
        <w:rFonts w:hint="default" w:ascii="Palatino Linotype" w:hAnsi="Palatino Linotype" w:eastAsia="Palatino Linotype" w:cs="Palatino Linotype"/>
        <w:spacing w:val="-1"/>
        <w:w w:val="100"/>
        <w:sz w:val="24"/>
        <w:szCs w:val="24"/>
      </w:rPr>
    </w:lvl>
    <w:lvl w:ilvl="3">
      <w:start w:val="1"/>
      <w:numFmt w:val="bullet"/>
      <w:lvlText w:val="•"/>
      <w:lvlJc w:val="left"/>
      <w:pPr>
        <w:ind w:left="2482" w:hanging="540"/>
      </w:pPr>
      <w:rPr>
        <w:rFonts w:hint="default"/>
      </w:rPr>
    </w:lvl>
    <w:lvl w:ilvl="4">
      <w:start w:val="1"/>
      <w:numFmt w:val="bullet"/>
      <w:lvlText w:val="•"/>
      <w:lvlJc w:val="left"/>
      <w:pPr>
        <w:ind w:left="3393" w:hanging="540"/>
      </w:pPr>
      <w:rPr>
        <w:rFonts w:hint="default"/>
      </w:rPr>
    </w:lvl>
    <w:lvl w:ilvl="5">
      <w:start w:val="1"/>
      <w:numFmt w:val="bullet"/>
      <w:lvlText w:val="•"/>
      <w:lvlJc w:val="left"/>
      <w:pPr>
        <w:ind w:left="4304" w:hanging="540"/>
      </w:pPr>
      <w:rPr>
        <w:rFonts w:hint="default"/>
      </w:rPr>
    </w:lvl>
    <w:lvl w:ilvl="6">
      <w:start w:val="1"/>
      <w:numFmt w:val="bullet"/>
      <w:lvlText w:val="•"/>
      <w:lvlJc w:val="left"/>
      <w:pPr>
        <w:ind w:left="5215" w:hanging="540"/>
      </w:pPr>
      <w:rPr>
        <w:rFonts w:hint="default"/>
      </w:rPr>
    </w:lvl>
    <w:lvl w:ilvl="7">
      <w:start w:val="1"/>
      <w:numFmt w:val="bullet"/>
      <w:lvlText w:val="•"/>
      <w:lvlJc w:val="left"/>
      <w:pPr>
        <w:ind w:left="6126" w:hanging="540"/>
      </w:pPr>
      <w:rPr>
        <w:rFonts w:hint="default"/>
      </w:rPr>
    </w:lvl>
    <w:lvl w:ilvl="8">
      <w:start w:val="1"/>
      <w:numFmt w:val="bullet"/>
      <w:lvlText w:val="•"/>
      <w:lvlJc w:val="left"/>
      <w:pPr>
        <w:ind w:left="7037" w:hanging="540"/>
      </w:pPr>
      <w:rPr>
        <w:rFonts w:hint="default"/>
      </w:rPr>
    </w:lvl>
  </w:abstractNum>
  <w:abstractNum w:abstractNumId="20">
    <w:multiLevelType w:val="hybridMultilevel"/>
    <w:lvl w:ilvl="0">
      <w:start w:val="5"/>
      <w:numFmt w:val="decimal"/>
      <w:lvlText w:val="%1"/>
      <w:lvlJc w:val="left"/>
      <w:pPr>
        <w:ind w:left="657" w:hanging="539"/>
        <w:jc w:val="left"/>
      </w:pPr>
      <w:rPr>
        <w:rFonts w:hint="default"/>
      </w:rPr>
    </w:lvl>
    <w:lvl w:ilvl="1">
      <w:start w:val="2"/>
      <w:numFmt w:val="decimal"/>
      <w:lvlText w:val="%1.%2"/>
      <w:lvlJc w:val="left"/>
      <w:pPr>
        <w:ind w:left="657" w:hanging="539"/>
        <w:jc w:val="left"/>
      </w:pPr>
      <w:rPr>
        <w:rFonts w:hint="default"/>
      </w:rPr>
    </w:lvl>
    <w:lvl w:ilvl="2">
      <w:start w:val="3"/>
      <w:numFmt w:val="decimal"/>
      <w:lvlText w:val="%1.%2.%3"/>
      <w:lvlJc w:val="left"/>
      <w:pPr>
        <w:ind w:left="657" w:hanging="539"/>
        <w:jc w:val="left"/>
      </w:pPr>
      <w:rPr>
        <w:rFonts w:hint="default" w:ascii="Palatino Linotype" w:hAnsi="Palatino Linotype" w:eastAsia="Palatino Linotype" w:cs="Palatino Linotype"/>
        <w:spacing w:val="-1"/>
        <w:w w:val="100"/>
        <w:sz w:val="24"/>
        <w:szCs w:val="24"/>
      </w:rPr>
    </w:lvl>
    <w:lvl w:ilvl="3">
      <w:start w:val="1"/>
      <w:numFmt w:val="decimal"/>
      <w:lvlText w:val="%4."/>
      <w:lvlJc w:val="left"/>
      <w:pPr>
        <w:ind w:left="839" w:hanging="361"/>
        <w:jc w:val="left"/>
      </w:pPr>
      <w:rPr>
        <w:rFonts w:hint="default" w:ascii="Georgia" w:hAnsi="Georgia" w:eastAsia="Georgia" w:cs="Georgia"/>
        <w:spacing w:val="-1"/>
        <w:w w:val="107"/>
        <w:sz w:val="24"/>
        <w:szCs w:val="24"/>
      </w:rPr>
    </w:lvl>
    <w:lvl w:ilvl="4">
      <w:start w:val="1"/>
      <w:numFmt w:val="bullet"/>
      <w:lvlText w:val="•"/>
      <w:lvlJc w:val="left"/>
      <w:pPr>
        <w:ind w:left="3513" w:hanging="361"/>
      </w:pPr>
      <w:rPr>
        <w:rFonts w:hint="default"/>
      </w:rPr>
    </w:lvl>
    <w:lvl w:ilvl="5">
      <w:start w:val="1"/>
      <w:numFmt w:val="bullet"/>
      <w:lvlText w:val="•"/>
      <w:lvlJc w:val="left"/>
      <w:pPr>
        <w:ind w:left="4404" w:hanging="361"/>
      </w:pPr>
      <w:rPr>
        <w:rFonts w:hint="default"/>
      </w:rPr>
    </w:lvl>
    <w:lvl w:ilvl="6">
      <w:start w:val="1"/>
      <w:numFmt w:val="bullet"/>
      <w:lvlText w:val="•"/>
      <w:lvlJc w:val="left"/>
      <w:pPr>
        <w:ind w:left="5295" w:hanging="361"/>
      </w:pPr>
      <w:rPr>
        <w:rFonts w:hint="default"/>
      </w:rPr>
    </w:lvl>
    <w:lvl w:ilvl="7">
      <w:start w:val="1"/>
      <w:numFmt w:val="bullet"/>
      <w:lvlText w:val="•"/>
      <w:lvlJc w:val="left"/>
      <w:pPr>
        <w:ind w:left="6186" w:hanging="361"/>
      </w:pPr>
      <w:rPr>
        <w:rFonts w:hint="default"/>
      </w:rPr>
    </w:lvl>
    <w:lvl w:ilvl="8">
      <w:start w:val="1"/>
      <w:numFmt w:val="bullet"/>
      <w:lvlText w:val="•"/>
      <w:lvlJc w:val="left"/>
      <w:pPr>
        <w:ind w:left="7077" w:hanging="361"/>
      </w:pPr>
      <w:rPr>
        <w:rFonts w:hint="default"/>
      </w:rPr>
    </w:lvl>
  </w:abstractNum>
  <w:abstractNum w:abstractNumId="19">
    <w:multiLevelType w:val="hybridMultilevel"/>
    <w:lvl w:ilvl="0">
      <w:start w:val="5"/>
      <w:numFmt w:val="decimal"/>
      <w:lvlText w:val="%1"/>
      <w:lvlJc w:val="left"/>
      <w:pPr>
        <w:ind w:left="477" w:hanging="359"/>
        <w:jc w:val="left"/>
      </w:pPr>
      <w:rPr>
        <w:rFonts w:hint="default"/>
      </w:rPr>
    </w:lvl>
    <w:lvl w:ilvl="1">
      <w:start w:val="2"/>
      <w:numFmt w:val="decimal"/>
      <w:lvlText w:val="%1.%2"/>
      <w:lvlJc w:val="left"/>
      <w:pPr>
        <w:ind w:left="477" w:hanging="359"/>
        <w:jc w:val="left"/>
      </w:pPr>
      <w:rPr>
        <w:rFonts w:hint="default" w:ascii="Georgia" w:hAnsi="Georgia" w:eastAsia="Georgia" w:cs="Georgia"/>
        <w:spacing w:val="-1"/>
        <w:w w:val="92"/>
        <w:sz w:val="24"/>
        <w:szCs w:val="24"/>
      </w:rPr>
    </w:lvl>
    <w:lvl w:ilvl="2">
      <w:start w:val="1"/>
      <w:numFmt w:val="decimal"/>
      <w:lvlText w:val="%1.%2.%3"/>
      <w:lvlJc w:val="left"/>
      <w:pPr>
        <w:ind w:left="658" w:hanging="540"/>
        <w:jc w:val="left"/>
      </w:pPr>
      <w:rPr>
        <w:rFonts w:hint="default" w:ascii="Georgia" w:hAnsi="Georgia" w:eastAsia="Georgia" w:cs="Georgia"/>
        <w:spacing w:val="-1"/>
        <w:w w:val="97"/>
        <w:sz w:val="24"/>
        <w:szCs w:val="24"/>
      </w:rPr>
    </w:lvl>
    <w:lvl w:ilvl="3">
      <w:start w:val="1"/>
      <w:numFmt w:val="decimal"/>
      <w:lvlText w:val="%4."/>
      <w:lvlJc w:val="left"/>
      <w:pPr>
        <w:ind w:left="839" w:hanging="361"/>
        <w:jc w:val="left"/>
      </w:pPr>
      <w:rPr>
        <w:rFonts w:hint="default" w:ascii="Times New Roman" w:hAnsi="Times New Roman" w:eastAsia="Times New Roman" w:cs="Times New Roman"/>
        <w:spacing w:val="-4"/>
        <w:w w:val="94"/>
        <w:sz w:val="24"/>
        <w:szCs w:val="24"/>
      </w:rPr>
    </w:lvl>
    <w:lvl w:ilvl="4">
      <w:start w:val="1"/>
      <w:numFmt w:val="bullet"/>
      <w:lvlText w:val="•"/>
      <w:lvlJc w:val="left"/>
      <w:pPr>
        <w:ind w:left="2845" w:hanging="361"/>
      </w:pPr>
      <w:rPr>
        <w:rFonts w:hint="default"/>
      </w:rPr>
    </w:lvl>
    <w:lvl w:ilvl="5">
      <w:start w:val="1"/>
      <w:numFmt w:val="bullet"/>
      <w:lvlText w:val="•"/>
      <w:lvlJc w:val="left"/>
      <w:pPr>
        <w:ind w:left="3847" w:hanging="361"/>
      </w:pPr>
      <w:rPr>
        <w:rFonts w:hint="default"/>
      </w:rPr>
    </w:lvl>
    <w:lvl w:ilvl="6">
      <w:start w:val="1"/>
      <w:numFmt w:val="bullet"/>
      <w:lvlText w:val="•"/>
      <w:lvlJc w:val="left"/>
      <w:pPr>
        <w:ind w:left="4850" w:hanging="361"/>
      </w:pPr>
      <w:rPr>
        <w:rFonts w:hint="default"/>
      </w:rPr>
    </w:lvl>
    <w:lvl w:ilvl="7">
      <w:start w:val="1"/>
      <w:numFmt w:val="bullet"/>
      <w:lvlText w:val="•"/>
      <w:lvlJc w:val="left"/>
      <w:pPr>
        <w:ind w:left="5852" w:hanging="361"/>
      </w:pPr>
      <w:rPr>
        <w:rFonts w:hint="default"/>
      </w:rPr>
    </w:lvl>
    <w:lvl w:ilvl="8">
      <w:start w:val="1"/>
      <w:numFmt w:val="bullet"/>
      <w:lvlText w:val="•"/>
      <w:lvlJc w:val="left"/>
      <w:pPr>
        <w:ind w:left="6855" w:hanging="361"/>
      </w:pPr>
      <w:rPr>
        <w:rFonts w:hint="default"/>
      </w:rPr>
    </w:lvl>
  </w:abstractNum>
  <w:abstractNum w:abstractNumId="18">
    <w:multiLevelType w:val="hybridMultilevel"/>
    <w:lvl w:ilvl="0">
      <w:start w:val="4"/>
      <w:numFmt w:val="decimal"/>
      <w:lvlText w:val="%1"/>
      <w:lvlJc w:val="left"/>
      <w:pPr>
        <w:ind w:left="478" w:hanging="360"/>
        <w:jc w:val="left"/>
      </w:pPr>
      <w:rPr>
        <w:rFonts w:hint="default"/>
      </w:rPr>
    </w:lvl>
    <w:lvl w:ilvl="1">
      <w:start w:val="1"/>
      <w:numFmt w:val="decimal"/>
      <w:lvlText w:val="%1.%2"/>
      <w:lvlJc w:val="left"/>
      <w:pPr>
        <w:ind w:left="478" w:hanging="360"/>
        <w:jc w:val="left"/>
      </w:pPr>
      <w:rPr>
        <w:rFonts w:hint="default" w:ascii="Georgia" w:hAnsi="Georgia" w:eastAsia="Georgia" w:cs="Georgia"/>
        <w:spacing w:val="-1"/>
        <w:w w:val="98"/>
        <w:sz w:val="24"/>
        <w:szCs w:val="24"/>
      </w:rPr>
    </w:lvl>
    <w:lvl w:ilvl="2">
      <w:start w:val="1"/>
      <w:numFmt w:val="bullet"/>
      <w:lvlText w:val="•"/>
      <w:lvlJc w:val="left"/>
      <w:pPr>
        <w:ind w:left="2156" w:hanging="360"/>
      </w:pPr>
      <w:rPr>
        <w:rFonts w:hint="default"/>
      </w:rPr>
    </w:lvl>
    <w:lvl w:ilvl="3">
      <w:start w:val="1"/>
      <w:numFmt w:val="bullet"/>
      <w:lvlText w:val="•"/>
      <w:lvlJc w:val="left"/>
      <w:pPr>
        <w:ind w:left="2994" w:hanging="360"/>
      </w:pPr>
      <w:rPr>
        <w:rFonts w:hint="default"/>
      </w:rPr>
    </w:lvl>
    <w:lvl w:ilvl="4">
      <w:start w:val="1"/>
      <w:numFmt w:val="bullet"/>
      <w:lvlText w:val="•"/>
      <w:lvlJc w:val="left"/>
      <w:pPr>
        <w:ind w:left="3832" w:hanging="360"/>
      </w:pPr>
      <w:rPr>
        <w:rFonts w:hint="default"/>
      </w:rPr>
    </w:lvl>
    <w:lvl w:ilvl="5">
      <w:start w:val="1"/>
      <w:numFmt w:val="bullet"/>
      <w:lvlText w:val="•"/>
      <w:lvlJc w:val="left"/>
      <w:pPr>
        <w:ind w:left="4670" w:hanging="360"/>
      </w:pPr>
      <w:rPr>
        <w:rFonts w:hint="default"/>
      </w:rPr>
    </w:lvl>
    <w:lvl w:ilvl="6">
      <w:start w:val="1"/>
      <w:numFmt w:val="bullet"/>
      <w:lvlText w:val="•"/>
      <w:lvlJc w:val="left"/>
      <w:pPr>
        <w:ind w:left="5508" w:hanging="360"/>
      </w:pPr>
      <w:rPr>
        <w:rFonts w:hint="default"/>
      </w:rPr>
    </w:lvl>
    <w:lvl w:ilvl="7">
      <w:start w:val="1"/>
      <w:numFmt w:val="bullet"/>
      <w:lvlText w:val="•"/>
      <w:lvlJc w:val="left"/>
      <w:pPr>
        <w:ind w:left="6346" w:hanging="360"/>
      </w:pPr>
      <w:rPr>
        <w:rFonts w:hint="default"/>
      </w:rPr>
    </w:lvl>
    <w:lvl w:ilvl="8">
      <w:start w:val="1"/>
      <w:numFmt w:val="bullet"/>
      <w:lvlText w:val="•"/>
      <w:lvlJc w:val="left"/>
      <w:pPr>
        <w:ind w:left="7184" w:hanging="360"/>
      </w:pPr>
      <w:rPr>
        <w:rFonts w:hint="default"/>
      </w:rPr>
    </w:lvl>
  </w:abstractNum>
  <w:abstractNum w:abstractNumId="17">
    <w:multiLevelType w:val="hybridMultilevel"/>
    <w:lvl w:ilvl="0">
      <w:start w:val="3"/>
      <w:numFmt w:val="decimal"/>
      <w:lvlText w:val="%1"/>
      <w:lvlJc w:val="left"/>
      <w:pPr>
        <w:ind w:left="658" w:hanging="540"/>
        <w:jc w:val="left"/>
      </w:pPr>
      <w:rPr>
        <w:rFonts w:hint="default"/>
      </w:rPr>
    </w:lvl>
    <w:lvl w:ilvl="1">
      <w:start w:val="4"/>
      <w:numFmt w:val="decimal"/>
      <w:lvlText w:val="%1.%2"/>
      <w:lvlJc w:val="left"/>
      <w:pPr>
        <w:ind w:left="658" w:hanging="540"/>
        <w:jc w:val="left"/>
      </w:pPr>
      <w:rPr>
        <w:rFonts w:hint="default"/>
      </w:rPr>
    </w:lvl>
    <w:lvl w:ilvl="2">
      <w:start w:val="1"/>
      <w:numFmt w:val="decimal"/>
      <w:lvlText w:val="%1.%2.%3"/>
      <w:lvlJc w:val="left"/>
      <w:pPr>
        <w:ind w:left="658" w:hanging="540"/>
        <w:jc w:val="left"/>
      </w:pPr>
      <w:rPr>
        <w:rFonts w:hint="default" w:ascii="Georgia" w:hAnsi="Georgia" w:eastAsia="Georgia" w:cs="Georgia"/>
        <w:spacing w:val="-1"/>
        <w:w w:val="95"/>
        <w:sz w:val="24"/>
        <w:szCs w:val="24"/>
      </w:rPr>
    </w:lvl>
    <w:lvl w:ilvl="3">
      <w:start w:val="1"/>
      <w:numFmt w:val="decimal"/>
      <w:lvlText w:val="%4."/>
      <w:lvlJc w:val="left"/>
      <w:pPr>
        <w:ind w:left="839" w:hanging="361"/>
        <w:jc w:val="left"/>
      </w:pPr>
      <w:rPr>
        <w:rFonts w:hint="default" w:ascii="Times New Roman" w:hAnsi="Times New Roman" w:eastAsia="Times New Roman" w:cs="Times New Roman"/>
        <w:spacing w:val="-3"/>
        <w:w w:val="99"/>
        <w:sz w:val="24"/>
        <w:szCs w:val="24"/>
      </w:rPr>
    </w:lvl>
    <w:lvl w:ilvl="4">
      <w:start w:val="1"/>
      <w:numFmt w:val="bullet"/>
      <w:lvlText w:val="•"/>
      <w:lvlJc w:val="left"/>
      <w:pPr>
        <w:ind w:left="3513" w:hanging="361"/>
      </w:pPr>
      <w:rPr>
        <w:rFonts w:hint="default"/>
      </w:rPr>
    </w:lvl>
    <w:lvl w:ilvl="5">
      <w:start w:val="1"/>
      <w:numFmt w:val="bullet"/>
      <w:lvlText w:val="•"/>
      <w:lvlJc w:val="left"/>
      <w:pPr>
        <w:ind w:left="4404" w:hanging="361"/>
      </w:pPr>
      <w:rPr>
        <w:rFonts w:hint="default"/>
      </w:rPr>
    </w:lvl>
    <w:lvl w:ilvl="6">
      <w:start w:val="1"/>
      <w:numFmt w:val="bullet"/>
      <w:lvlText w:val="•"/>
      <w:lvlJc w:val="left"/>
      <w:pPr>
        <w:ind w:left="5295" w:hanging="361"/>
      </w:pPr>
      <w:rPr>
        <w:rFonts w:hint="default"/>
      </w:rPr>
    </w:lvl>
    <w:lvl w:ilvl="7">
      <w:start w:val="1"/>
      <w:numFmt w:val="bullet"/>
      <w:lvlText w:val="•"/>
      <w:lvlJc w:val="left"/>
      <w:pPr>
        <w:ind w:left="6186" w:hanging="361"/>
      </w:pPr>
      <w:rPr>
        <w:rFonts w:hint="default"/>
      </w:rPr>
    </w:lvl>
    <w:lvl w:ilvl="8">
      <w:start w:val="1"/>
      <w:numFmt w:val="bullet"/>
      <w:lvlText w:val="•"/>
      <w:lvlJc w:val="left"/>
      <w:pPr>
        <w:ind w:left="7077" w:hanging="361"/>
      </w:pPr>
      <w:rPr>
        <w:rFonts w:hint="default"/>
      </w:rPr>
    </w:lvl>
  </w:abstractNum>
  <w:abstractNum w:abstractNumId="16">
    <w:multiLevelType w:val="hybridMultilevel"/>
    <w:lvl w:ilvl="0">
      <w:start w:val="3"/>
      <w:numFmt w:val="decimal"/>
      <w:lvlText w:val="%1."/>
      <w:lvlJc w:val="left"/>
      <w:pPr>
        <w:ind w:left="819" w:hanging="361"/>
        <w:jc w:val="left"/>
      </w:pPr>
      <w:rPr>
        <w:rFonts w:hint="default" w:ascii="Times New Roman" w:hAnsi="Times New Roman" w:eastAsia="Times New Roman" w:cs="Times New Roman"/>
        <w:spacing w:val="-27"/>
        <w:w w:val="99"/>
        <w:sz w:val="24"/>
        <w:szCs w:val="24"/>
      </w:rPr>
    </w:lvl>
    <w:lvl w:ilvl="1">
      <w:start w:val="1"/>
      <w:numFmt w:val="bullet"/>
      <w:lvlText w:val="•"/>
      <w:lvlJc w:val="left"/>
      <w:pPr>
        <w:ind w:left="1020" w:hanging="361"/>
      </w:pPr>
      <w:rPr>
        <w:rFonts w:hint="default"/>
      </w:rPr>
    </w:lvl>
    <w:lvl w:ilvl="2">
      <w:start w:val="1"/>
      <w:numFmt w:val="bullet"/>
      <w:lvlText w:val="•"/>
      <w:lvlJc w:val="left"/>
      <w:pPr>
        <w:ind w:left="1888" w:hanging="361"/>
      </w:pPr>
      <w:rPr>
        <w:rFonts w:hint="default"/>
      </w:rPr>
    </w:lvl>
    <w:lvl w:ilvl="3">
      <w:start w:val="1"/>
      <w:numFmt w:val="bullet"/>
      <w:lvlText w:val="•"/>
      <w:lvlJc w:val="left"/>
      <w:pPr>
        <w:ind w:left="2757" w:hanging="361"/>
      </w:pPr>
      <w:rPr>
        <w:rFonts w:hint="default"/>
      </w:rPr>
    </w:lvl>
    <w:lvl w:ilvl="4">
      <w:start w:val="1"/>
      <w:numFmt w:val="bullet"/>
      <w:lvlText w:val="•"/>
      <w:lvlJc w:val="left"/>
      <w:pPr>
        <w:ind w:left="3626" w:hanging="361"/>
      </w:pPr>
      <w:rPr>
        <w:rFonts w:hint="default"/>
      </w:rPr>
    </w:lvl>
    <w:lvl w:ilvl="5">
      <w:start w:val="1"/>
      <w:numFmt w:val="bullet"/>
      <w:lvlText w:val="•"/>
      <w:lvlJc w:val="left"/>
      <w:pPr>
        <w:ind w:left="4495" w:hanging="361"/>
      </w:pPr>
      <w:rPr>
        <w:rFonts w:hint="default"/>
      </w:rPr>
    </w:lvl>
    <w:lvl w:ilvl="6">
      <w:start w:val="1"/>
      <w:numFmt w:val="bullet"/>
      <w:lvlText w:val="•"/>
      <w:lvlJc w:val="left"/>
      <w:pPr>
        <w:ind w:left="5364" w:hanging="361"/>
      </w:pPr>
      <w:rPr>
        <w:rFonts w:hint="default"/>
      </w:rPr>
    </w:lvl>
    <w:lvl w:ilvl="7">
      <w:start w:val="1"/>
      <w:numFmt w:val="bullet"/>
      <w:lvlText w:val="•"/>
      <w:lvlJc w:val="left"/>
      <w:pPr>
        <w:ind w:left="6233" w:hanging="361"/>
      </w:pPr>
      <w:rPr>
        <w:rFonts w:hint="default"/>
      </w:rPr>
    </w:lvl>
    <w:lvl w:ilvl="8">
      <w:start w:val="1"/>
      <w:numFmt w:val="bullet"/>
      <w:lvlText w:val="•"/>
      <w:lvlJc w:val="left"/>
      <w:pPr>
        <w:ind w:left="7102" w:hanging="361"/>
      </w:pPr>
      <w:rPr>
        <w:rFonts w:hint="default"/>
      </w:rPr>
    </w:lvl>
  </w:abstractNum>
  <w:abstractNum w:abstractNumId="15">
    <w:multiLevelType w:val="hybridMultilevel"/>
    <w:lvl w:ilvl="0">
      <w:start w:val="3"/>
      <w:numFmt w:val="decimal"/>
      <w:lvlText w:val="%1"/>
      <w:lvlJc w:val="left"/>
      <w:pPr>
        <w:ind w:left="478" w:hanging="360"/>
        <w:jc w:val="left"/>
      </w:pPr>
      <w:rPr>
        <w:rFonts w:hint="default"/>
      </w:rPr>
    </w:lvl>
    <w:lvl w:ilvl="1">
      <w:start w:val="3"/>
      <w:numFmt w:val="decimal"/>
      <w:lvlText w:val="%1.%2"/>
      <w:lvlJc w:val="left"/>
      <w:pPr>
        <w:ind w:left="478" w:hanging="360"/>
        <w:jc w:val="left"/>
      </w:pPr>
      <w:rPr>
        <w:rFonts w:hint="default" w:ascii="Palatino Linotype" w:hAnsi="Palatino Linotype" w:eastAsia="Palatino Linotype" w:cs="Palatino Linotype"/>
        <w:spacing w:val="-1"/>
        <w:w w:val="100"/>
        <w:sz w:val="24"/>
        <w:szCs w:val="24"/>
      </w:rPr>
    </w:lvl>
    <w:lvl w:ilvl="2">
      <w:start w:val="1"/>
      <w:numFmt w:val="decimal"/>
      <w:lvlText w:val="%3."/>
      <w:lvlJc w:val="left"/>
      <w:pPr>
        <w:ind w:left="839" w:hanging="361"/>
        <w:jc w:val="left"/>
      </w:pPr>
      <w:rPr>
        <w:rFonts w:hint="default" w:ascii="Georgia" w:hAnsi="Georgia" w:eastAsia="Georgia" w:cs="Georgia"/>
        <w:spacing w:val="-1"/>
        <w:w w:val="107"/>
        <w:sz w:val="24"/>
        <w:szCs w:val="24"/>
      </w:rPr>
    </w:lvl>
    <w:lvl w:ilvl="3">
      <w:start w:val="1"/>
      <w:numFmt w:val="bullet"/>
      <w:lvlText w:val="•"/>
      <w:lvlJc w:val="left"/>
      <w:pPr>
        <w:ind w:left="2622" w:hanging="361"/>
      </w:pPr>
      <w:rPr>
        <w:rFonts w:hint="default"/>
      </w:rPr>
    </w:lvl>
    <w:lvl w:ilvl="4">
      <w:start w:val="1"/>
      <w:numFmt w:val="bullet"/>
      <w:lvlText w:val="•"/>
      <w:lvlJc w:val="left"/>
      <w:pPr>
        <w:ind w:left="3513" w:hanging="361"/>
      </w:pPr>
      <w:rPr>
        <w:rFonts w:hint="default"/>
      </w:rPr>
    </w:lvl>
    <w:lvl w:ilvl="5">
      <w:start w:val="1"/>
      <w:numFmt w:val="bullet"/>
      <w:lvlText w:val="•"/>
      <w:lvlJc w:val="left"/>
      <w:pPr>
        <w:ind w:left="4404" w:hanging="361"/>
      </w:pPr>
      <w:rPr>
        <w:rFonts w:hint="default"/>
      </w:rPr>
    </w:lvl>
    <w:lvl w:ilvl="6">
      <w:start w:val="1"/>
      <w:numFmt w:val="bullet"/>
      <w:lvlText w:val="•"/>
      <w:lvlJc w:val="left"/>
      <w:pPr>
        <w:ind w:left="5295" w:hanging="361"/>
      </w:pPr>
      <w:rPr>
        <w:rFonts w:hint="default"/>
      </w:rPr>
    </w:lvl>
    <w:lvl w:ilvl="7">
      <w:start w:val="1"/>
      <w:numFmt w:val="bullet"/>
      <w:lvlText w:val="•"/>
      <w:lvlJc w:val="left"/>
      <w:pPr>
        <w:ind w:left="6186" w:hanging="361"/>
      </w:pPr>
      <w:rPr>
        <w:rFonts w:hint="default"/>
      </w:rPr>
    </w:lvl>
    <w:lvl w:ilvl="8">
      <w:start w:val="1"/>
      <w:numFmt w:val="bullet"/>
      <w:lvlText w:val="•"/>
      <w:lvlJc w:val="left"/>
      <w:pPr>
        <w:ind w:left="7077" w:hanging="361"/>
      </w:pPr>
      <w:rPr>
        <w:rFonts w:hint="default"/>
      </w:rPr>
    </w:lvl>
  </w:abstractNum>
  <w:abstractNum w:abstractNumId="14">
    <w:multiLevelType w:val="hybridMultilevel"/>
    <w:lvl w:ilvl="0">
      <w:start w:val="3"/>
      <w:numFmt w:val="decimal"/>
      <w:lvlText w:val="%1."/>
      <w:lvlJc w:val="left"/>
      <w:pPr>
        <w:ind w:left="839" w:hanging="361"/>
        <w:jc w:val="left"/>
      </w:pPr>
      <w:rPr>
        <w:rFonts w:hint="default" w:ascii="Georgia" w:hAnsi="Georgia" w:eastAsia="Georgia" w:cs="Georgia"/>
        <w:spacing w:val="-1"/>
        <w:w w:val="91"/>
        <w:sz w:val="24"/>
        <w:szCs w:val="24"/>
      </w:rPr>
    </w:lvl>
    <w:lvl w:ilvl="1">
      <w:start w:val="1"/>
      <w:numFmt w:val="bullet"/>
      <w:lvlText w:val="•"/>
      <w:lvlJc w:val="left"/>
      <w:pPr>
        <w:ind w:left="1642" w:hanging="361"/>
      </w:pPr>
      <w:rPr>
        <w:rFonts w:hint="default"/>
      </w:rPr>
    </w:lvl>
    <w:lvl w:ilvl="2">
      <w:start w:val="1"/>
      <w:numFmt w:val="bullet"/>
      <w:lvlText w:val="•"/>
      <w:lvlJc w:val="left"/>
      <w:pPr>
        <w:ind w:left="2444" w:hanging="361"/>
      </w:pPr>
      <w:rPr>
        <w:rFonts w:hint="default"/>
      </w:rPr>
    </w:lvl>
    <w:lvl w:ilvl="3">
      <w:start w:val="1"/>
      <w:numFmt w:val="bullet"/>
      <w:lvlText w:val="•"/>
      <w:lvlJc w:val="left"/>
      <w:pPr>
        <w:ind w:left="3246" w:hanging="361"/>
      </w:pPr>
      <w:rPr>
        <w:rFonts w:hint="default"/>
      </w:rPr>
    </w:lvl>
    <w:lvl w:ilvl="4">
      <w:start w:val="1"/>
      <w:numFmt w:val="bullet"/>
      <w:lvlText w:val="•"/>
      <w:lvlJc w:val="left"/>
      <w:pPr>
        <w:ind w:left="4048" w:hanging="361"/>
      </w:pPr>
      <w:rPr>
        <w:rFonts w:hint="default"/>
      </w:rPr>
    </w:lvl>
    <w:lvl w:ilvl="5">
      <w:start w:val="1"/>
      <w:numFmt w:val="bullet"/>
      <w:lvlText w:val="•"/>
      <w:lvlJc w:val="left"/>
      <w:pPr>
        <w:ind w:left="4850" w:hanging="361"/>
      </w:pPr>
      <w:rPr>
        <w:rFonts w:hint="default"/>
      </w:rPr>
    </w:lvl>
    <w:lvl w:ilvl="6">
      <w:start w:val="1"/>
      <w:numFmt w:val="bullet"/>
      <w:lvlText w:val="•"/>
      <w:lvlJc w:val="left"/>
      <w:pPr>
        <w:ind w:left="5652" w:hanging="361"/>
      </w:pPr>
      <w:rPr>
        <w:rFonts w:hint="default"/>
      </w:rPr>
    </w:lvl>
    <w:lvl w:ilvl="7">
      <w:start w:val="1"/>
      <w:numFmt w:val="bullet"/>
      <w:lvlText w:val="•"/>
      <w:lvlJc w:val="left"/>
      <w:pPr>
        <w:ind w:left="6454" w:hanging="361"/>
      </w:pPr>
      <w:rPr>
        <w:rFonts w:hint="default"/>
      </w:rPr>
    </w:lvl>
    <w:lvl w:ilvl="8">
      <w:start w:val="1"/>
      <w:numFmt w:val="bullet"/>
      <w:lvlText w:val="•"/>
      <w:lvlJc w:val="left"/>
      <w:pPr>
        <w:ind w:left="7256" w:hanging="361"/>
      </w:pPr>
      <w:rPr>
        <w:rFonts w:hint="default"/>
      </w:rPr>
    </w:lvl>
  </w:abstractNum>
  <w:abstractNum w:abstractNumId="13">
    <w:multiLevelType w:val="hybridMultilevel"/>
    <w:lvl w:ilvl="0">
      <w:start w:val="3"/>
      <w:numFmt w:val="decimal"/>
      <w:lvlText w:val="%1"/>
      <w:lvlJc w:val="left"/>
      <w:pPr>
        <w:ind w:left="659" w:hanging="540"/>
        <w:jc w:val="left"/>
      </w:pPr>
      <w:rPr>
        <w:rFonts w:hint="default"/>
      </w:rPr>
    </w:lvl>
    <w:lvl w:ilvl="1">
      <w:start w:val="2"/>
      <w:numFmt w:val="decimal"/>
      <w:lvlText w:val="%1.%2"/>
      <w:lvlJc w:val="left"/>
      <w:pPr>
        <w:ind w:left="659" w:hanging="540"/>
        <w:jc w:val="left"/>
      </w:pPr>
      <w:rPr>
        <w:rFonts w:hint="default"/>
      </w:rPr>
    </w:lvl>
    <w:lvl w:ilvl="2">
      <w:start w:val="3"/>
      <w:numFmt w:val="decimal"/>
      <w:lvlText w:val="%1.%2.%3"/>
      <w:lvlJc w:val="left"/>
      <w:pPr>
        <w:ind w:left="659" w:hanging="540"/>
        <w:jc w:val="left"/>
      </w:pPr>
      <w:rPr>
        <w:rFonts w:hint="default" w:ascii="Palatino Linotype" w:hAnsi="Palatino Linotype" w:eastAsia="Palatino Linotype" w:cs="Palatino Linotype"/>
        <w:spacing w:val="-1"/>
        <w:w w:val="100"/>
        <w:sz w:val="24"/>
        <w:szCs w:val="24"/>
      </w:rPr>
    </w:lvl>
    <w:lvl w:ilvl="3">
      <w:start w:val="1"/>
      <w:numFmt w:val="decimal"/>
      <w:lvlText w:val="%4."/>
      <w:lvlJc w:val="left"/>
      <w:pPr>
        <w:ind w:left="839" w:hanging="361"/>
        <w:jc w:val="left"/>
      </w:pPr>
      <w:rPr>
        <w:rFonts w:hint="default" w:ascii="Times New Roman" w:hAnsi="Times New Roman" w:eastAsia="Times New Roman" w:cs="Times New Roman"/>
        <w:spacing w:val="-3"/>
        <w:w w:val="94"/>
        <w:sz w:val="24"/>
        <w:szCs w:val="24"/>
      </w:rPr>
    </w:lvl>
    <w:lvl w:ilvl="4">
      <w:start w:val="1"/>
      <w:numFmt w:val="bullet"/>
      <w:lvlText w:val="•"/>
      <w:lvlJc w:val="left"/>
      <w:pPr>
        <w:ind w:left="3513" w:hanging="361"/>
      </w:pPr>
      <w:rPr>
        <w:rFonts w:hint="default"/>
      </w:rPr>
    </w:lvl>
    <w:lvl w:ilvl="5">
      <w:start w:val="1"/>
      <w:numFmt w:val="bullet"/>
      <w:lvlText w:val="•"/>
      <w:lvlJc w:val="left"/>
      <w:pPr>
        <w:ind w:left="4404" w:hanging="361"/>
      </w:pPr>
      <w:rPr>
        <w:rFonts w:hint="default"/>
      </w:rPr>
    </w:lvl>
    <w:lvl w:ilvl="6">
      <w:start w:val="1"/>
      <w:numFmt w:val="bullet"/>
      <w:lvlText w:val="•"/>
      <w:lvlJc w:val="left"/>
      <w:pPr>
        <w:ind w:left="5295" w:hanging="361"/>
      </w:pPr>
      <w:rPr>
        <w:rFonts w:hint="default"/>
      </w:rPr>
    </w:lvl>
    <w:lvl w:ilvl="7">
      <w:start w:val="1"/>
      <w:numFmt w:val="bullet"/>
      <w:lvlText w:val="•"/>
      <w:lvlJc w:val="left"/>
      <w:pPr>
        <w:ind w:left="6186" w:hanging="361"/>
      </w:pPr>
      <w:rPr>
        <w:rFonts w:hint="default"/>
      </w:rPr>
    </w:lvl>
    <w:lvl w:ilvl="8">
      <w:start w:val="1"/>
      <w:numFmt w:val="bullet"/>
      <w:lvlText w:val="•"/>
      <w:lvlJc w:val="left"/>
      <w:pPr>
        <w:ind w:left="7077" w:hanging="361"/>
      </w:pPr>
      <w:rPr>
        <w:rFonts w:hint="default"/>
      </w:rPr>
    </w:lvl>
  </w:abstractNum>
  <w:abstractNum w:abstractNumId="12">
    <w:multiLevelType w:val="hybridMultilevel"/>
    <w:lvl w:ilvl="0">
      <w:start w:val="3"/>
      <w:numFmt w:val="decimal"/>
      <w:lvlText w:val="%1"/>
      <w:lvlJc w:val="left"/>
      <w:pPr>
        <w:ind w:left="478" w:hanging="360"/>
        <w:jc w:val="left"/>
      </w:pPr>
      <w:rPr>
        <w:rFonts w:hint="default"/>
      </w:rPr>
    </w:lvl>
    <w:lvl w:ilvl="1">
      <w:start w:val="2"/>
      <w:numFmt w:val="decimal"/>
      <w:lvlText w:val="%1.%2"/>
      <w:lvlJc w:val="left"/>
      <w:pPr>
        <w:ind w:left="478" w:hanging="360"/>
        <w:jc w:val="left"/>
      </w:pPr>
      <w:rPr>
        <w:rFonts w:hint="default" w:ascii="Palatino Linotype" w:hAnsi="Palatino Linotype" w:eastAsia="Palatino Linotype" w:cs="Palatino Linotype"/>
        <w:spacing w:val="-1"/>
        <w:w w:val="100"/>
        <w:sz w:val="24"/>
        <w:szCs w:val="24"/>
      </w:rPr>
    </w:lvl>
    <w:lvl w:ilvl="2">
      <w:start w:val="1"/>
      <w:numFmt w:val="decimal"/>
      <w:lvlText w:val="%1.%2.%3"/>
      <w:lvlJc w:val="left"/>
      <w:pPr>
        <w:ind w:left="658" w:hanging="540"/>
        <w:jc w:val="left"/>
      </w:pPr>
      <w:rPr>
        <w:rFonts w:hint="default" w:ascii="Georgia" w:hAnsi="Georgia" w:eastAsia="Georgia" w:cs="Georgia"/>
        <w:spacing w:val="-1"/>
        <w:w w:val="96"/>
        <w:sz w:val="24"/>
        <w:szCs w:val="24"/>
      </w:rPr>
    </w:lvl>
    <w:lvl w:ilvl="3">
      <w:start w:val="1"/>
      <w:numFmt w:val="bullet"/>
      <w:lvlText w:val="•"/>
      <w:lvlJc w:val="left"/>
      <w:pPr>
        <w:ind w:left="2482" w:hanging="540"/>
      </w:pPr>
      <w:rPr>
        <w:rFonts w:hint="default"/>
      </w:rPr>
    </w:lvl>
    <w:lvl w:ilvl="4">
      <w:start w:val="1"/>
      <w:numFmt w:val="bullet"/>
      <w:lvlText w:val="•"/>
      <w:lvlJc w:val="left"/>
      <w:pPr>
        <w:ind w:left="3393" w:hanging="540"/>
      </w:pPr>
      <w:rPr>
        <w:rFonts w:hint="default"/>
      </w:rPr>
    </w:lvl>
    <w:lvl w:ilvl="5">
      <w:start w:val="1"/>
      <w:numFmt w:val="bullet"/>
      <w:lvlText w:val="•"/>
      <w:lvlJc w:val="left"/>
      <w:pPr>
        <w:ind w:left="4304" w:hanging="540"/>
      </w:pPr>
      <w:rPr>
        <w:rFonts w:hint="default"/>
      </w:rPr>
    </w:lvl>
    <w:lvl w:ilvl="6">
      <w:start w:val="1"/>
      <w:numFmt w:val="bullet"/>
      <w:lvlText w:val="•"/>
      <w:lvlJc w:val="left"/>
      <w:pPr>
        <w:ind w:left="5215" w:hanging="540"/>
      </w:pPr>
      <w:rPr>
        <w:rFonts w:hint="default"/>
      </w:rPr>
    </w:lvl>
    <w:lvl w:ilvl="7">
      <w:start w:val="1"/>
      <w:numFmt w:val="bullet"/>
      <w:lvlText w:val="•"/>
      <w:lvlJc w:val="left"/>
      <w:pPr>
        <w:ind w:left="6126" w:hanging="540"/>
      </w:pPr>
      <w:rPr>
        <w:rFonts w:hint="default"/>
      </w:rPr>
    </w:lvl>
    <w:lvl w:ilvl="8">
      <w:start w:val="1"/>
      <w:numFmt w:val="bullet"/>
      <w:lvlText w:val="•"/>
      <w:lvlJc w:val="left"/>
      <w:pPr>
        <w:ind w:left="7037" w:hanging="540"/>
      </w:pPr>
      <w:rPr>
        <w:rFonts w:hint="default"/>
      </w:rPr>
    </w:lvl>
  </w:abstractNum>
  <w:abstractNum w:abstractNumId="11">
    <w:multiLevelType w:val="hybridMultilevel"/>
    <w:lvl w:ilvl="0">
      <w:start w:val="3"/>
      <w:numFmt w:val="decimal"/>
      <w:lvlText w:val="%1"/>
      <w:lvlJc w:val="left"/>
      <w:pPr>
        <w:ind w:left="658" w:hanging="539"/>
        <w:jc w:val="left"/>
      </w:pPr>
      <w:rPr>
        <w:rFonts w:hint="default"/>
      </w:rPr>
    </w:lvl>
    <w:lvl w:ilvl="1">
      <w:start w:val="1"/>
      <w:numFmt w:val="decimal"/>
      <w:lvlText w:val="%1.%2"/>
      <w:lvlJc w:val="left"/>
      <w:pPr>
        <w:ind w:left="658" w:hanging="539"/>
        <w:jc w:val="left"/>
      </w:pPr>
      <w:rPr>
        <w:rFonts w:hint="default"/>
      </w:rPr>
    </w:lvl>
    <w:lvl w:ilvl="2">
      <w:start w:val="1"/>
      <w:numFmt w:val="decimal"/>
      <w:lvlText w:val="%1.%2.%3"/>
      <w:lvlJc w:val="left"/>
      <w:pPr>
        <w:ind w:left="658" w:hanging="539"/>
        <w:jc w:val="left"/>
      </w:pPr>
      <w:rPr>
        <w:rFonts w:hint="default" w:ascii="Palatino Linotype" w:hAnsi="Palatino Linotype" w:eastAsia="Palatino Linotype" w:cs="Palatino Linotype"/>
        <w:spacing w:val="-1"/>
        <w:w w:val="100"/>
        <w:sz w:val="24"/>
        <w:szCs w:val="24"/>
      </w:rPr>
    </w:lvl>
    <w:lvl w:ilvl="3">
      <w:start w:val="1"/>
      <w:numFmt w:val="decimal"/>
      <w:lvlText w:val="%4."/>
      <w:lvlJc w:val="left"/>
      <w:pPr>
        <w:ind w:left="839" w:hanging="361"/>
        <w:jc w:val="left"/>
      </w:pPr>
      <w:rPr>
        <w:rFonts w:hint="default" w:ascii="Times New Roman" w:hAnsi="Times New Roman" w:eastAsia="Times New Roman" w:cs="Times New Roman"/>
        <w:spacing w:val="-5"/>
        <w:w w:val="100"/>
        <w:sz w:val="24"/>
        <w:szCs w:val="24"/>
      </w:rPr>
    </w:lvl>
    <w:lvl w:ilvl="4">
      <w:start w:val="1"/>
      <w:numFmt w:val="bullet"/>
      <w:lvlText w:val="•"/>
      <w:lvlJc w:val="left"/>
      <w:pPr>
        <w:ind w:left="3513" w:hanging="361"/>
      </w:pPr>
      <w:rPr>
        <w:rFonts w:hint="default"/>
      </w:rPr>
    </w:lvl>
    <w:lvl w:ilvl="5">
      <w:start w:val="1"/>
      <w:numFmt w:val="bullet"/>
      <w:lvlText w:val="•"/>
      <w:lvlJc w:val="left"/>
      <w:pPr>
        <w:ind w:left="4404" w:hanging="361"/>
      </w:pPr>
      <w:rPr>
        <w:rFonts w:hint="default"/>
      </w:rPr>
    </w:lvl>
    <w:lvl w:ilvl="6">
      <w:start w:val="1"/>
      <w:numFmt w:val="bullet"/>
      <w:lvlText w:val="•"/>
      <w:lvlJc w:val="left"/>
      <w:pPr>
        <w:ind w:left="5295" w:hanging="361"/>
      </w:pPr>
      <w:rPr>
        <w:rFonts w:hint="default"/>
      </w:rPr>
    </w:lvl>
    <w:lvl w:ilvl="7">
      <w:start w:val="1"/>
      <w:numFmt w:val="bullet"/>
      <w:lvlText w:val="•"/>
      <w:lvlJc w:val="left"/>
      <w:pPr>
        <w:ind w:left="6186" w:hanging="361"/>
      </w:pPr>
      <w:rPr>
        <w:rFonts w:hint="default"/>
      </w:rPr>
    </w:lvl>
    <w:lvl w:ilvl="8">
      <w:start w:val="1"/>
      <w:numFmt w:val="bullet"/>
      <w:lvlText w:val="•"/>
      <w:lvlJc w:val="left"/>
      <w:pPr>
        <w:ind w:left="7077" w:hanging="361"/>
      </w:pPr>
      <w:rPr>
        <w:rFonts w:hint="default"/>
      </w:rPr>
    </w:lvl>
  </w:abstractNum>
  <w:abstractNum w:abstractNumId="10">
    <w:multiLevelType w:val="hybridMultilevel"/>
    <w:lvl w:ilvl="0">
      <w:start w:val="2"/>
      <w:numFmt w:val="decimal"/>
      <w:lvlText w:val="%1"/>
      <w:lvlJc w:val="left"/>
      <w:pPr>
        <w:ind w:left="478" w:hanging="360"/>
        <w:jc w:val="left"/>
      </w:pPr>
      <w:rPr>
        <w:rFonts w:hint="default"/>
      </w:rPr>
    </w:lvl>
    <w:lvl w:ilvl="1">
      <w:start w:val="4"/>
      <w:numFmt w:val="decimal"/>
      <w:lvlText w:val="%1.%2"/>
      <w:lvlJc w:val="left"/>
      <w:pPr>
        <w:ind w:left="478" w:hanging="360"/>
        <w:jc w:val="left"/>
      </w:pPr>
      <w:rPr>
        <w:rFonts w:hint="default" w:ascii="Palatino Linotype" w:hAnsi="Palatino Linotype" w:eastAsia="Palatino Linotype" w:cs="Palatino Linotype"/>
        <w:spacing w:val="-1"/>
        <w:w w:val="100"/>
        <w:sz w:val="24"/>
        <w:szCs w:val="24"/>
      </w:rPr>
    </w:lvl>
    <w:lvl w:ilvl="2">
      <w:start w:val="1"/>
      <w:numFmt w:val="decimal"/>
      <w:lvlText w:val="%1.%2.%3"/>
      <w:lvlJc w:val="left"/>
      <w:pPr>
        <w:ind w:left="658" w:hanging="540"/>
        <w:jc w:val="left"/>
      </w:pPr>
      <w:rPr>
        <w:rFonts w:hint="default" w:ascii="Palatino Linotype" w:hAnsi="Palatino Linotype" w:eastAsia="Palatino Linotype" w:cs="Palatino Linotype"/>
        <w:spacing w:val="-1"/>
        <w:w w:val="100"/>
        <w:sz w:val="24"/>
        <w:szCs w:val="24"/>
      </w:rPr>
    </w:lvl>
    <w:lvl w:ilvl="3">
      <w:start w:val="1"/>
      <w:numFmt w:val="decimal"/>
      <w:lvlText w:val="%4."/>
      <w:lvlJc w:val="left"/>
      <w:pPr>
        <w:ind w:left="839" w:hanging="361"/>
        <w:jc w:val="left"/>
      </w:pPr>
      <w:rPr>
        <w:rFonts w:hint="default" w:ascii="Times New Roman" w:hAnsi="Times New Roman" w:eastAsia="Times New Roman" w:cs="Times New Roman"/>
        <w:spacing w:val="-4"/>
        <w:w w:val="99"/>
        <w:sz w:val="24"/>
        <w:szCs w:val="24"/>
      </w:rPr>
    </w:lvl>
    <w:lvl w:ilvl="4">
      <w:start w:val="1"/>
      <w:numFmt w:val="bullet"/>
      <w:lvlText w:val="•"/>
      <w:lvlJc w:val="left"/>
      <w:pPr>
        <w:ind w:left="2845" w:hanging="361"/>
      </w:pPr>
      <w:rPr>
        <w:rFonts w:hint="default"/>
      </w:rPr>
    </w:lvl>
    <w:lvl w:ilvl="5">
      <w:start w:val="1"/>
      <w:numFmt w:val="bullet"/>
      <w:lvlText w:val="•"/>
      <w:lvlJc w:val="left"/>
      <w:pPr>
        <w:ind w:left="3847" w:hanging="361"/>
      </w:pPr>
      <w:rPr>
        <w:rFonts w:hint="default"/>
      </w:rPr>
    </w:lvl>
    <w:lvl w:ilvl="6">
      <w:start w:val="1"/>
      <w:numFmt w:val="bullet"/>
      <w:lvlText w:val="•"/>
      <w:lvlJc w:val="left"/>
      <w:pPr>
        <w:ind w:left="4850" w:hanging="361"/>
      </w:pPr>
      <w:rPr>
        <w:rFonts w:hint="default"/>
      </w:rPr>
    </w:lvl>
    <w:lvl w:ilvl="7">
      <w:start w:val="1"/>
      <w:numFmt w:val="bullet"/>
      <w:lvlText w:val="•"/>
      <w:lvlJc w:val="left"/>
      <w:pPr>
        <w:ind w:left="5852" w:hanging="361"/>
      </w:pPr>
      <w:rPr>
        <w:rFonts w:hint="default"/>
      </w:rPr>
    </w:lvl>
    <w:lvl w:ilvl="8">
      <w:start w:val="1"/>
      <w:numFmt w:val="bullet"/>
      <w:lvlText w:val="•"/>
      <w:lvlJc w:val="left"/>
      <w:pPr>
        <w:ind w:left="6855" w:hanging="361"/>
      </w:pPr>
      <w:rPr>
        <w:rFonts w:hint="default"/>
      </w:rPr>
    </w:lvl>
  </w:abstractNum>
  <w:abstractNum w:abstractNumId="9">
    <w:multiLevelType w:val="hybridMultilevel"/>
    <w:lvl w:ilvl="0">
      <w:start w:val="2"/>
      <w:numFmt w:val="decimal"/>
      <w:lvlText w:val="%1"/>
      <w:lvlJc w:val="left"/>
      <w:pPr>
        <w:ind w:left="658" w:hanging="540"/>
        <w:jc w:val="left"/>
      </w:pPr>
      <w:rPr>
        <w:rFonts w:hint="default"/>
      </w:rPr>
    </w:lvl>
    <w:lvl w:ilvl="1">
      <w:start w:val="3"/>
      <w:numFmt w:val="decimal"/>
      <w:lvlText w:val="%1.%2"/>
      <w:lvlJc w:val="left"/>
      <w:pPr>
        <w:ind w:left="658" w:hanging="540"/>
        <w:jc w:val="left"/>
      </w:pPr>
      <w:rPr>
        <w:rFonts w:hint="default"/>
      </w:rPr>
    </w:lvl>
    <w:lvl w:ilvl="2">
      <w:start w:val="1"/>
      <w:numFmt w:val="decimal"/>
      <w:lvlText w:val="%1.%2.%3"/>
      <w:lvlJc w:val="left"/>
      <w:pPr>
        <w:ind w:left="658" w:hanging="540"/>
        <w:jc w:val="left"/>
      </w:pPr>
      <w:rPr>
        <w:rFonts w:hint="default" w:ascii="Palatino Linotype" w:hAnsi="Palatino Linotype" w:eastAsia="Palatino Linotype" w:cs="Palatino Linotype"/>
        <w:spacing w:val="-1"/>
        <w:w w:val="100"/>
        <w:sz w:val="24"/>
        <w:szCs w:val="24"/>
      </w:rPr>
    </w:lvl>
    <w:lvl w:ilvl="3">
      <w:start w:val="1"/>
      <w:numFmt w:val="decimal"/>
      <w:lvlText w:val="%4."/>
      <w:lvlJc w:val="left"/>
      <w:pPr>
        <w:ind w:left="839" w:hanging="361"/>
        <w:jc w:val="left"/>
      </w:pPr>
      <w:rPr>
        <w:rFonts w:hint="default" w:ascii="Times New Roman" w:hAnsi="Times New Roman" w:eastAsia="Times New Roman" w:cs="Times New Roman"/>
        <w:spacing w:val="-30"/>
        <w:w w:val="99"/>
        <w:sz w:val="24"/>
        <w:szCs w:val="24"/>
      </w:rPr>
    </w:lvl>
    <w:lvl w:ilvl="4">
      <w:start w:val="1"/>
      <w:numFmt w:val="bullet"/>
      <w:lvlText w:val="•"/>
      <w:lvlJc w:val="left"/>
      <w:pPr>
        <w:ind w:left="3513" w:hanging="361"/>
      </w:pPr>
      <w:rPr>
        <w:rFonts w:hint="default"/>
      </w:rPr>
    </w:lvl>
    <w:lvl w:ilvl="5">
      <w:start w:val="1"/>
      <w:numFmt w:val="bullet"/>
      <w:lvlText w:val="•"/>
      <w:lvlJc w:val="left"/>
      <w:pPr>
        <w:ind w:left="4404" w:hanging="361"/>
      </w:pPr>
      <w:rPr>
        <w:rFonts w:hint="default"/>
      </w:rPr>
    </w:lvl>
    <w:lvl w:ilvl="6">
      <w:start w:val="1"/>
      <w:numFmt w:val="bullet"/>
      <w:lvlText w:val="•"/>
      <w:lvlJc w:val="left"/>
      <w:pPr>
        <w:ind w:left="5295" w:hanging="361"/>
      </w:pPr>
      <w:rPr>
        <w:rFonts w:hint="default"/>
      </w:rPr>
    </w:lvl>
    <w:lvl w:ilvl="7">
      <w:start w:val="1"/>
      <w:numFmt w:val="bullet"/>
      <w:lvlText w:val="•"/>
      <w:lvlJc w:val="left"/>
      <w:pPr>
        <w:ind w:left="6186" w:hanging="361"/>
      </w:pPr>
      <w:rPr>
        <w:rFonts w:hint="default"/>
      </w:rPr>
    </w:lvl>
    <w:lvl w:ilvl="8">
      <w:start w:val="1"/>
      <w:numFmt w:val="bullet"/>
      <w:lvlText w:val="•"/>
      <w:lvlJc w:val="left"/>
      <w:pPr>
        <w:ind w:left="7077" w:hanging="361"/>
      </w:pPr>
      <w:rPr>
        <w:rFonts w:hint="default"/>
      </w:rPr>
    </w:lvl>
  </w:abstractNum>
  <w:abstractNum w:abstractNumId="8">
    <w:multiLevelType w:val="hybridMultilevel"/>
    <w:lvl w:ilvl="0">
      <w:start w:val="2"/>
      <w:numFmt w:val="decimal"/>
      <w:lvlText w:val="%1"/>
      <w:lvlJc w:val="left"/>
      <w:pPr>
        <w:ind w:left="478" w:hanging="359"/>
        <w:jc w:val="left"/>
      </w:pPr>
      <w:rPr>
        <w:rFonts w:hint="default"/>
      </w:rPr>
    </w:lvl>
    <w:lvl w:ilvl="1">
      <w:start w:val="1"/>
      <w:numFmt w:val="decimal"/>
      <w:lvlText w:val="%1.%2"/>
      <w:lvlJc w:val="left"/>
      <w:pPr>
        <w:ind w:left="478" w:hanging="359"/>
        <w:jc w:val="left"/>
      </w:pPr>
      <w:rPr>
        <w:rFonts w:hint="default" w:ascii="Palatino Linotype" w:hAnsi="Palatino Linotype" w:eastAsia="Palatino Linotype" w:cs="Palatino Linotype"/>
        <w:spacing w:val="-1"/>
        <w:w w:val="100"/>
        <w:sz w:val="24"/>
        <w:szCs w:val="24"/>
      </w:rPr>
    </w:lvl>
    <w:lvl w:ilvl="2">
      <w:start w:val="1"/>
      <w:numFmt w:val="bullet"/>
      <w:lvlText w:val="•"/>
      <w:lvlJc w:val="left"/>
      <w:pPr>
        <w:ind w:left="2156" w:hanging="359"/>
      </w:pPr>
      <w:rPr>
        <w:rFonts w:hint="default"/>
      </w:rPr>
    </w:lvl>
    <w:lvl w:ilvl="3">
      <w:start w:val="1"/>
      <w:numFmt w:val="bullet"/>
      <w:lvlText w:val="•"/>
      <w:lvlJc w:val="left"/>
      <w:pPr>
        <w:ind w:left="2994" w:hanging="359"/>
      </w:pPr>
      <w:rPr>
        <w:rFonts w:hint="default"/>
      </w:rPr>
    </w:lvl>
    <w:lvl w:ilvl="4">
      <w:start w:val="1"/>
      <w:numFmt w:val="bullet"/>
      <w:lvlText w:val="•"/>
      <w:lvlJc w:val="left"/>
      <w:pPr>
        <w:ind w:left="3832" w:hanging="359"/>
      </w:pPr>
      <w:rPr>
        <w:rFonts w:hint="default"/>
      </w:rPr>
    </w:lvl>
    <w:lvl w:ilvl="5">
      <w:start w:val="1"/>
      <w:numFmt w:val="bullet"/>
      <w:lvlText w:val="•"/>
      <w:lvlJc w:val="left"/>
      <w:pPr>
        <w:ind w:left="4670" w:hanging="359"/>
      </w:pPr>
      <w:rPr>
        <w:rFonts w:hint="default"/>
      </w:rPr>
    </w:lvl>
    <w:lvl w:ilvl="6">
      <w:start w:val="1"/>
      <w:numFmt w:val="bullet"/>
      <w:lvlText w:val="•"/>
      <w:lvlJc w:val="left"/>
      <w:pPr>
        <w:ind w:left="5508" w:hanging="359"/>
      </w:pPr>
      <w:rPr>
        <w:rFonts w:hint="default"/>
      </w:rPr>
    </w:lvl>
    <w:lvl w:ilvl="7">
      <w:start w:val="1"/>
      <w:numFmt w:val="bullet"/>
      <w:lvlText w:val="•"/>
      <w:lvlJc w:val="left"/>
      <w:pPr>
        <w:ind w:left="6346" w:hanging="359"/>
      </w:pPr>
      <w:rPr>
        <w:rFonts w:hint="default"/>
      </w:rPr>
    </w:lvl>
    <w:lvl w:ilvl="8">
      <w:start w:val="1"/>
      <w:numFmt w:val="bullet"/>
      <w:lvlText w:val="•"/>
      <w:lvlJc w:val="left"/>
      <w:pPr>
        <w:ind w:left="7184" w:hanging="359"/>
      </w:pPr>
      <w:rPr>
        <w:rFonts w:hint="default"/>
      </w:rPr>
    </w:lvl>
  </w:abstractNum>
  <w:abstractNum w:abstractNumId="7">
    <w:multiLevelType w:val="hybridMultilevel"/>
    <w:lvl w:ilvl="0">
      <w:start w:val="1"/>
      <w:numFmt w:val="decimal"/>
      <w:lvlText w:val="%1"/>
      <w:lvlJc w:val="left"/>
      <w:pPr>
        <w:ind w:left="477" w:hanging="359"/>
        <w:jc w:val="left"/>
      </w:pPr>
      <w:rPr>
        <w:rFonts w:hint="default"/>
      </w:rPr>
    </w:lvl>
    <w:lvl w:ilvl="1">
      <w:start w:val="4"/>
      <w:numFmt w:val="decimal"/>
      <w:lvlText w:val="%1.%2"/>
      <w:lvlJc w:val="left"/>
      <w:pPr>
        <w:ind w:left="477" w:hanging="359"/>
        <w:jc w:val="left"/>
      </w:pPr>
      <w:rPr>
        <w:rFonts w:hint="default" w:ascii="Palatino Linotype" w:hAnsi="Palatino Linotype" w:eastAsia="Palatino Linotype" w:cs="Palatino Linotype"/>
        <w:spacing w:val="-1"/>
        <w:w w:val="100"/>
        <w:sz w:val="24"/>
        <w:szCs w:val="24"/>
      </w:rPr>
    </w:lvl>
    <w:lvl w:ilvl="2">
      <w:start w:val="1"/>
      <w:numFmt w:val="bullet"/>
      <w:lvlText w:val="•"/>
      <w:lvlJc w:val="left"/>
      <w:pPr>
        <w:ind w:left="2156" w:hanging="359"/>
      </w:pPr>
      <w:rPr>
        <w:rFonts w:hint="default"/>
      </w:rPr>
    </w:lvl>
    <w:lvl w:ilvl="3">
      <w:start w:val="1"/>
      <w:numFmt w:val="bullet"/>
      <w:lvlText w:val="•"/>
      <w:lvlJc w:val="left"/>
      <w:pPr>
        <w:ind w:left="2994" w:hanging="359"/>
      </w:pPr>
      <w:rPr>
        <w:rFonts w:hint="default"/>
      </w:rPr>
    </w:lvl>
    <w:lvl w:ilvl="4">
      <w:start w:val="1"/>
      <w:numFmt w:val="bullet"/>
      <w:lvlText w:val="•"/>
      <w:lvlJc w:val="left"/>
      <w:pPr>
        <w:ind w:left="3832" w:hanging="359"/>
      </w:pPr>
      <w:rPr>
        <w:rFonts w:hint="default"/>
      </w:rPr>
    </w:lvl>
    <w:lvl w:ilvl="5">
      <w:start w:val="1"/>
      <w:numFmt w:val="bullet"/>
      <w:lvlText w:val="•"/>
      <w:lvlJc w:val="left"/>
      <w:pPr>
        <w:ind w:left="4670" w:hanging="359"/>
      </w:pPr>
      <w:rPr>
        <w:rFonts w:hint="default"/>
      </w:rPr>
    </w:lvl>
    <w:lvl w:ilvl="6">
      <w:start w:val="1"/>
      <w:numFmt w:val="bullet"/>
      <w:lvlText w:val="•"/>
      <w:lvlJc w:val="left"/>
      <w:pPr>
        <w:ind w:left="5508" w:hanging="359"/>
      </w:pPr>
      <w:rPr>
        <w:rFonts w:hint="default"/>
      </w:rPr>
    </w:lvl>
    <w:lvl w:ilvl="7">
      <w:start w:val="1"/>
      <w:numFmt w:val="bullet"/>
      <w:lvlText w:val="•"/>
      <w:lvlJc w:val="left"/>
      <w:pPr>
        <w:ind w:left="6346" w:hanging="359"/>
      </w:pPr>
      <w:rPr>
        <w:rFonts w:hint="default"/>
      </w:rPr>
    </w:lvl>
    <w:lvl w:ilvl="8">
      <w:start w:val="1"/>
      <w:numFmt w:val="bullet"/>
      <w:lvlText w:val="•"/>
      <w:lvlJc w:val="left"/>
      <w:pPr>
        <w:ind w:left="7184" w:hanging="359"/>
      </w:pPr>
      <w:rPr>
        <w:rFonts w:hint="default"/>
      </w:rPr>
    </w:lvl>
  </w:abstractNum>
  <w:abstractNum w:abstractNumId="6">
    <w:multiLevelType w:val="hybridMultilevel"/>
    <w:lvl w:ilvl="0">
      <w:start w:val="1"/>
      <w:numFmt w:val="decimal"/>
      <w:lvlText w:val="%1"/>
      <w:lvlJc w:val="left"/>
      <w:pPr>
        <w:ind w:left="119" w:hanging="408"/>
        <w:jc w:val="left"/>
      </w:pPr>
      <w:rPr>
        <w:rFonts w:hint="default"/>
      </w:rPr>
    </w:lvl>
    <w:lvl w:ilvl="1">
      <w:start w:val="2"/>
      <w:numFmt w:val="decimal"/>
      <w:lvlText w:val="%1.%2"/>
      <w:lvlJc w:val="left"/>
      <w:pPr>
        <w:ind w:left="119" w:hanging="408"/>
        <w:jc w:val="left"/>
      </w:pPr>
      <w:rPr>
        <w:rFonts w:hint="default" w:ascii="Palatino Linotype" w:hAnsi="Palatino Linotype" w:eastAsia="Palatino Linotype" w:cs="Palatino Linotype"/>
        <w:spacing w:val="-14"/>
        <w:w w:val="98"/>
        <w:sz w:val="24"/>
        <w:szCs w:val="24"/>
      </w:rPr>
    </w:lvl>
    <w:lvl w:ilvl="2">
      <w:start w:val="1"/>
      <w:numFmt w:val="decimal"/>
      <w:lvlText w:val="%3."/>
      <w:lvlJc w:val="left"/>
      <w:pPr>
        <w:ind w:left="839" w:hanging="360"/>
        <w:jc w:val="left"/>
      </w:pPr>
      <w:rPr>
        <w:rFonts w:hint="default" w:ascii="Palatino Linotype" w:hAnsi="Palatino Linotype" w:eastAsia="Palatino Linotype" w:cs="Palatino Linotype"/>
        <w:i/>
        <w:spacing w:val="-3"/>
        <w:w w:val="99"/>
        <w:sz w:val="24"/>
        <w:szCs w:val="24"/>
      </w:rPr>
    </w:lvl>
    <w:lvl w:ilvl="3">
      <w:start w:val="1"/>
      <w:numFmt w:val="bullet"/>
      <w:lvlText w:val="•"/>
      <w:lvlJc w:val="left"/>
      <w:pPr>
        <w:ind w:left="2622" w:hanging="360"/>
      </w:pPr>
      <w:rPr>
        <w:rFonts w:hint="default"/>
      </w:rPr>
    </w:lvl>
    <w:lvl w:ilvl="4">
      <w:start w:val="1"/>
      <w:numFmt w:val="bullet"/>
      <w:lvlText w:val="•"/>
      <w:lvlJc w:val="left"/>
      <w:pPr>
        <w:ind w:left="3513" w:hanging="360"/>
      </w:pPr>
      <w:rPr>
        <w:rFonts w:hint="default"/>
      </w:rPr>
    </w:lvl>
    <w:lvl w:ilvl="5">
      <w:start w:val="1"/>
      <w:numFmt w:val="bullet"/>
      <w:lvlText w:val="•"/>
      <w:lvlJc w:val="left"/>
      <w:pPr>
        <w:ind w:left="4404" w:hanging="360"/>
      </w:pPr>
      <w:rPr>
        <w:rFonts w:hint="default"/>
      </w:rPr>
    </w:lvl>
    <w:lvl w:ilvl="6">
      <w:start w:val="1"/>
      <w:numFmt w:val="bullet"/>
      <w:lvlText w:val="•"/>
      <w:lvlJc w:val="left"/>
      <w:pPr>
        <w:ind w:left="5295" w:hanging="360"/>
      </w:pPr>
      <w:rPr>
        <w:rFonts w:hint="default"/>
      </w:rPr>
    </w:lvl>
    <w:lvl w:ilvl="7">
      <w:start w:val="1"/>
      <w:numFmt w:val="bullet"/>
      <w:lvlText w:val="•"/>
      <w:lvlJc w:val="left"/>
      <w:pPr>
        <w:ind w:left="6186" w:hanging="360"/>
      </w:pPr>
      <w:rPr>
        <w:rFonts w:hint="default"/>
      </w:rPr>
    </w:lvl>
    <w:lvl w:ilvl="8">
      <w:start w:val="1"/>
      <w:numFmt w:val="bullet"/>
      <w:lvlText w:val="•"/>
      <w:lvlJc w:val="left"/>
      <w:pPr>
        <w:ind w:left="7077" w:hanging="360"/>
      </w:pPr>
      <w:rPr>
        <w:rFonts w:hint="default"/>
      </w:rPr>
    </w:lvl>
  </w:abstractNum>
  <w:abstractNum w:abstractNumId="5">
    <w:multiLevelType w:val="hybridMultilevel"/>
    <w:lvl w:ilvl="0">
      <w:start w:val="6"/>
      <w:numFmt w:val="decimal"/>
      <w:lvlText w:val="%1"/>
      <w:lvlJc w:val="left"/>
      <w:pPr>
        <w:ind w:left="688" w:hanging="329"/>
        <w:jc w:val="left"/>
      </w:pPr>
      <w:rPr>
        <w:rFonts w:hint="default"/>
      </w:rPr>
    </w:lvl>
    <w:lvl w:ilvl="1">
      <w:start w:val="1"/>
      <w:numFmt w:val="decimal"/>
      <w:lvlText w:val="%1.%2"/>
      <w:lvlJc w:val="left"/>
      <w:pPr>
        <w:ind w:left="688" w:hanging="329"/>
        <w:jc w:val="left"/>
      </w:pPr>
      <w:rPr>
        <w:rFonts w:hint="default" w:ascii="Times New Roman" w:hAnsi="Times New Roman" w:eastAsia="Times New Roman" w:cs="Times New Roman"/>
        <w:spacing w:val="0"/>
        <w:w w:val="102"/>
        <w:sz w:val="21"/>
        <w:szCs w:val="21"/>
      </w:rPr>
    </w:lvl>
    <w:lvl w:ilvl="2">
      <w:start w:val="1"/>
      <w:numFmt w:val="decimal"/>
      <w:lvlText w:val="%3."/>
      <w:lvlJc w:val="left"/>
      <w:pPr>
        <w:ind w:left="839" w:hanging="360"/>
        <w:jc w:val="left"/>
      </w:pPr>
      <w:rPr>
        <w:rFonts w:hint="default" w:ascii="Palatino Linotype" w:hAnsi="Palatino Linotype" w:eastAsia="Palatino Linotype" w:cs="Palatino Linotype"/>
        <w:spacing w:val="-14"/>
        <w:w w:val="99"/>
        <w:sz w:val="24"/>
        <w:szCs w:val="24"/>
      </w:rPr>
    </w:lvl>
    <w:lvl w:ilvl="3">
      <w:start w:val="1"/>
      <w:numFmt w:val="bullet"/>
      <w:lvlText w:val="•"/>
      <w:lvlJc w:val="left"/>
      <w:pPr>
        <w:ind w:left="2070" w:hanging="360"/>
      </w:pPr>
      <w:rPr>
        <w:rFonts w:hint="default"/>
      </w:rPr>
    </w:lvl>
    <w:lvl w:ilvl="4">
      <w:start w:val="1"/>
      <w:numFmt w:val="bullet"/>
      <w:lvlText w:val="•"/>
      <w:lvlJc w:val="left"/>
      <w:pPr>
        <w:ind w:left="3040" w:hanging="360"/>
      </w:pPr>
      <w:rPr>
        <w:rFonts w:hint="default"/>
      </w:rPr>
    </w:lvl>
    <w:lvl w:ilvl="5">
      <w:start w:val="1"/>
      <w:numFmt w:val="bullet"/>
      <w:lvlText w:val="•"/>
      <w:lvlJc w:val="left"/>
      <w:pPr>
        <w:ind w:left="4010" w:hanging="360"/>
      </w:pPr>
      <w:rPr>
        <w:rFonts w:hint="default"/>
      </w:rPr>
    </w:lvl>
    <w:lvl w:ilvl="6">
      <w:start w:val="1"/>
      <w:numFmt w:val="bullet"/>
      <w:lvlText w:val="•"/>
      <w:lvlJc w:val="left"/>
      <w:pPr>
        <w:ind w:left="4980" w:hanging="360"/>
      </w:pPr>
      <w:rPr>
        <w:rFonts w:hint="default"/>
      </w:rPr>
    </w:lvl>
    <w:lvl w:ilvl="7">
      <w:start w:val="1"/>
      <w:numFmt w:val="bullet"/>
      <w:lvlText w:val="•"/>
      <w:lvlJc w:val="left"/>
      <w:pPr>
        <w:ind w:left="5950" w:hanging="360"/>
      </w:pPr>
      <w:rPr>
        <w:rFonts w:hint="default"/>
      </w:rPr>
    </w:lvl>
    <w:lvl w:ilvl="8">
      <w:start w:val="1"/>
      <w:numFmt w:val="bullet"/>
      <w:lvlText w:val="•"/>
      <w:lvlJc w:val="left"/>
      <w:pPr>
        <w:ind w:left="6920" w:hanging="360"/>
      </w:pPr>
      <w:rPr>
        <w:rFonts w:hint="default"/>
      </w:rPr>
    </w:lvl>
  </w:abstractNum>
  <w:abstractNum w:abstractNumId="4">
    <w:multiLevelType w:val="hybridMultilevel"/>
    <w:lvl w:ilvl="0">
      <w:start w:val="5"/>
      <w:numFmt w:val="decimal"/>
      <w:lvlText w:val="%1"/>
      <w:lvlJc w:val="left"/>
      <w:pPr>
        <w:ind w:left="688" w:hanging="329"/>
        <w:jc w:val="left"/>
      </w:pPr>
      <w:rPr>
        <w:rFonts w:hint="default"/>
      </w:rPr>
    </w:lvl>
    <w:lvl w:ilvl="1">
      <w:start w:val="1"/>
      <w:numFmt w:val="decimal"/>
      <w:lvlText w:val="%1.%2"/>
      <w:lvlJc w:val="left"/>
      <w:pPr>
        <w:ind w:left="688" w:hanging="329"/>
        <w:jc w:val="left"/>
      </w:pPr>
      <w:rPr>
        <w:rFonts w:hint="default" w:ascii="Times New Roman" w:hAnsi="Times New Roman" w:eastAsia="Times New Roman" w:cs="Times New Roman"/>
        <w:spacing w:val="0"/>
        <w:w w:val="102"/>
        <w:sz w:val="21"/>
        <w:szCs w:val="21"/>
      </w:rPr>
    </w:lvl>
    <w:lvl w:ilvl="2">
      <w:start w:val="1"/>
      <w:numFmt w:val="decimal"/>
      <w:lvlText w:val="%1.%2.%3"/>
      <w:lvlJc w:val="left"/>
      <w:pPr>
        <w:ind w:left="1092" w:hanging="494"/>
        <w:jc w:val="left"/>
      </w:pPr>
      <w:rPr>
        <w:rFonts w:hint="default" w:ascii="Palatino Linotype" w:hAnsi="Palatino Linotype" w:eastAsia="Palatino Linotype" w:cs="Palatino Linotype"/>
        <w:spacing w:val="0"/>
        <w:w w:val="102"/>
        <w:sz w:val="21"/>
        <w:szCs w:val="21"/>
      </w:rPr>
    </w:lvl>
    <w:lvl w:ilvl="3">
      <w:start w:val="1"/>
      <w:numFmt w:val="bullet"/>
      <w:lvlText w:val="•"/>
      <w:lvlJc w:val="left"/>
      <w:pPr>
        <w:ind w:left="2210" w:hanging="494"/>
      </w:pPr>
      <w:rPr>
        <w:rFonts w:hint="default"/>
      </w:rPr>
    </w:lvl>
    <w:lvl w:ilvl="4">
      <w:start w:val="1"/>
      <w:numFmt w:val="bullet"/>
      <w:lvlText w:val="•"/>
      <w:lvlJc w:val="left"/>
      <w:pPr>
        <w:ind w:left="3160" w:hanging="494"/>
      </w:pPr>
      <w:rPr>
        <w:rFonts w:hint="default"/>
      </w:rPr>
    </w:lvl>
    <w:lvl w:ilvl="5">
      <w:start w:val="1"/>
      <w:numFmt w:val="bullet"/>
      <w:lvlText w:val="•"/>
      <w:lvlJc w:val="left"/>
      <w:pPr>
        <w:ind w:left="4110" w:hanging="494"/>
      </w:pPr>
      <w:rPr>
        <w:rFonts w:hint="default"/>
      </w:rPr>
    </w:lvl>
    <w:lvl w:ilvl="6">
      <w:start w:val="1"/>
      <w:numFmt w:val="bullet"/>
      <w:lvlText w:val="•"/>
      <w:lvlJc w:val="left"/>
      <w:pPr>
        <w:ind w:left="5060" w:hanging="494"/>
      </w:pPr>
      <w:rPr>
        <w:rFonts w:hint="default"/>
      </w:rPr>
    </w:lvl>
    <w:lvl w:ilvl="7">
      <w:start w:val="1"/>
      <w:numFmt w:val="bullet"/>
      <w:lvlText w:val="•"/>
      <w:lvlJc w:val="left"/>
      <w:pPr>
        <w:ind w:left="6010" w:hanging="494"/>
      </w:pPr>
      <w:rPr>
        <w:rFonts w:hint="default"/>
      </w:rPr>
    </w:lvl>
    <w:lvl w:ilvl="8">
      <w:start w:val="1"/>
      <w:numFmt w:val="bullet"/>
      <w:lvlText w:val="•"/>
      <w:lvlJc w:val="left"/>
      <w:pPr>
        <w:ind w:left="6960" w:hanging="494"/>
      </w:pPr>
      <w:rPr>
        <w:rFonts w:hint="default"/>
      </w:rPr>
    </w:lvl>
  </w:abstractNum>
  <w:abstractNum w:abstractNumId="3">
    <w:multiLevelType w:val="hybridMultilevel"/>
    <w:lvl w:ilvl="0">
      <w:start w:val="4"/>
      <w:numFmt w:val="decimal"/>
      <w:lvlText w:val="%1"/>
      <w:lvlJc w:val="left"/>
      <w:pPr>
        <w:ind w:left="688" w:hanging="329"/>
        <w:jc w:val="left"/>
      </w:pPr>
      <w:rPr>
        <w:rFonts w:hint="default"/>
      </w:rPr>
    </w:lvl>
    <w:lvl w:ilvl="1">
      <w:start w:val="1"/>
      <w:numFmt w:val="decimal"/>
      <w:lvlText w:val="%1.%2"/>
      <w:lvlJc w:val="left"/>
      <w:pPr>
        <w:ind w:left="688" w:hanging="329"/>
        <w:jc w:val="left"/>
      </w:pPr>
      <w:rPr>
        <w:rFonts w:hint="default" w:ascii="Times New Roman" w:hAnsi="Times New Roman" w:eastAsia="Times New Roman" w:cs="Times New Roman"/>
        <w:spacing w:val="0"/>
        <w:w w:val="102"/>
        <w:sz w:val="21"/>
        <w:szCs w:val="21"/>
      </w:rPr>
    </w:lvl>
    <w:lvl w:ilvl="2">
      <w:start w:val="1"/>
      <w:numFmt w:val="bullet"/>
      <w:lvlText w:val="•"/>
      <w:lvlJc w:val="left"/>
      <w:pPr>
        <w:ind w:left="2316" w:hanging="329"/>
      </w:pPr>
      <w:rPr>
        <w:rFonts w:hint="default"/>
      </w:rPr>
    </w:lvl>
    <w:lvl w:ilvl="3">
      <w:start w:val="1"/>
      <w:numFmt w:val="bullet"/>
      <w:lvlText w:val="•"/>
      <w:lvlJc w:val="left"/>
      <w:pPr>
        <w:ind w:left="3134" w:hanging="329"/>
      </w:pPr>
      <w:rPr>
        <w:rFonts w:hint="default"/>
      </w:rPr>
    </w:lvl>
    <w:lvl w:ilvl="4">
      <w:start w:val="1"/>
      <w:numFmt w:val="bullet"/>
      <w:lvlText w:val="•"/>
      <w:lvlJc w:val="left"/>
      <w:pPr>
        <w:ind w:left="3952" w:hanging="329"/>
      </w:pPr>
      <w:rPr>
        <w:rFonts w:hint="default"/>
      </w:rPr>
    </w:lvl>
    <w:lvl w:ilvl="5">
      <w:start w:val="1"/>
      <w:numFmt w:val="bullet"/>
      <w:lvlText w:val="•"/>
      <w:lvlJc w:val="left"/>
      <w:pPr>
        <w:ind w:left="4770" w:hanging="329"/>
      </w:pPr>
      <w:rPr>
        <w:rFonts w:hint="default"/>
      </w:rPr>
    </w:lvl>
    <w:lvl w:ilvl="6">
      <w:start w:val="1"/>
      <w:numFmt w:val="bullet"/>
      <w:lvlText w:val="•"/>
      <w:lvlJc w:val="left"/>
      <w:pPr>
        <w:ind w:left="5588" w:hanging="329"/>
      </w:pPr>
      <w:rPr>
        <w:rFonts w:hint="default"/>
      </w:rPr>
    </w:lvl>
    <w:lvl w:ilvl="7">
      <w:start w:val="1"/>
      <w:numFmt w:val="bullet"/>
      <w:lvlText w:val="•"/>
      <w:lvlJc w:val="left"/>
      <w:pPr>
        <w:ind w:left="6406" w:hanging="329"/>
      </w:pPr>
      <w:rPr>
        <w:rFonts w:hint="default"/>
      </w:rPr>
    </w:lvl>
    <w:lvl w:ilvl="8">
      <w:start w:val="1"/>
      <w:numFmt w:val="bullet"/>
      <w:lvlText w:val="•"/>
      <w:lvlJc w:val="left"/>
      <w:pPr>
        <w:ind w:left="7224" w:hanging="329"/>
      </w:pPr>
      <w:rPr>
        <w:rFonts w:hint="default"/>
      </w:rPr>
    </w:lvl>
  </w:abstractNum>
  <w:abstractNum w:abstractNumId="2">
    <w:multiLevelType w:val="hybridMultilevel"/>
    <w:lvl w:ilvl="0">
      <w:start w:val="3"/>
      <w:numFmt w:val="decimal"/>
      <w:lvlText w:val="%1"/>
      <w:lvlJc w:val="left"/>
      <w:pPr>
        <w:ind w:left="688" w:hanging="329"/>
        <w:jc w:val="left"/>
      </w:pPr>
      <w:rPr>
        <w:rFonts w:hint="default"/>
      </w:rPr>
    </w:lvl>
    <w:lvl w:ilvl="1">
      <w:start w:val="1"/>
      <w:numFmt w:val="decimal"/>
      <w:lvlText w:val="%1.%2"/>
      <w:lvlJc w:val="left"/>
      <w:pPr>
        <w:ind w:left="688" w:hanging="329"/>
        <w:jc w:val="left"/>
      </w:pPr>
      <w:rPr>
        <w:rFonts w:hint="default" w:ascii="Times New Roman" w:hAnsi="Times New Roman" w:eastAsia="Times New Roman" w:cs="Times New Roman"/>
        <w:spacing w:val="0"/>
        <w:w w:val="102"/>
        <w:sz w:val="21"/>
        <w:szCs w:val="21"/>
      </w:rPr>
    </w:lvl>
    <w:lvl w:ilvl="2">
      <w:start w:val="2"/>
      <w:numFmt w:val="decimal"/>
      <w:lvlText w:val="%1.%2.%3"/>
      <w:lvlJc w:val="left"/>
      <w:pPr>
        <w:ind w:left="1092" w:hanging="494"/>
        <w:jc w:val="left"/>
      </w:pPr>
      <w:rPr>
        <w:rFonts w:hint="default" w:ascii="Palatino Linotype" w:hAnsi="Palatino Linotype" w:eastAsia="Palatino Linotype" w:cs="Palatino Linotype"/>
        <w:spacing w:val="0"/>
        <w:w w:val="102"/>
        <w:sz w:val="21"/>
        <w:szCs w:val="21"/>
      </w:rPr>
    </w:lvl>
    <w:lvl w:ilvl="3">
      <w:start w:val="1"/>
      <w:numFmt w:val="bullet"/>
      <w:lvlText w:val="•"/>
      <w:lvlJc w:val="left"/>
      <w:pPr>
        <w:ind w:left="2824" w:hanging="494"/>
      </w:pPr>
      <w:rPr>
        <w:rFonts w:hint="default"/>
      </w:rPr>
    </w:lvl>
    <w:lvl w:ilvl="4">
      <w:start w:val="1"/>
      <w:numFmt w:val="bullet"/>
      <w:lvlText w:val="•"/>
      <w:lvlJc w:val="left"/>
      <w:pPr>
        <w:ind w:left="3686" w:hanging="494"/>
      </w:pPr>
      <w:rPr>
        <w:rFonts w:hint="default"/>
      </w:rPr>
    </w:lvl>
    <w:lvl w:ilvl="5">
      <w:start w:val="1"/>
      <w:numFmt w:val="bullet"/>
      <w:lvlText w:val="•"/>
      <w:lvlJc w:val="left"/>
      <w:pPr>
        <w:ind w:left="4548" w:hanging="494"/>
      </w:pPr>
      <w:rPr>
        <w:rFonts w:hint="default"/>
      </w:rPr>
    </w:lvl>
    <w:lvl w:ilvl="6">
      <w:start w:val="1"/>
      <w:numFmt w:val="bullet"/>
      <w:lvlText w:val="•"/>
      <w:lvlJc w:val="left"/>
      <w:pPr>
        <w:ind w:left="5411" w:hanging="494"/>
      </w:pPr>
      <w:rPr>
        <w:rFonts w:hint="default"/>
      </w:rPr>
    </w:lvl>
    <w:lvl w:ilvl="7">
      <w:start w:val="1"/>
      <w:numFmt w:val="bullet"/>
      <w:lvlText w:val="•"/>
      <w:lvlJc w:val="left"/>
      <w:pPr>
        <w:ind w:left="6273" w:hanging="494"/>
      </w:pPr>
      <w:rPr>
        <w:rFonts w:hint="default"/>
      </w:rPr>
    </w:lvl>
    <w:lvl w:ilvl="8">
      <w:start w:val="1"/>
      <w:numFmt w:val="bullet"/>
      <w:lvlText w:val="•"/>
      <w:lvlJc w:val="left"/>
      <w:pPr>
        <w:ind w:left="7135" w:hanging="494"/>
      </w:pPr>
      <w:rPr>
        <w:rFonts w:hint="default"/>
      </w:rPr>
    </w:lvl>
  </w:abstractNum>
  <w:abstractNum w:abstractNumId="1">
    <w:multiLevelType w:val="hybridMultilevel"/>
    <w:lvl w:ilvl="0">
      <w:start w:val="2"/>
      <w:numFmt w:val="decimal"/>
      <w:lvlText w:val="%1"/>
      <w:lvlJc w:val="left"/>
      <w:pPr>
        <w:ind w:left="688" w:hanging="329"/>
        <w:jc w:val="left"/>
      </w:pPr>
      <w:rPr>
        <w:rFonts w:hint="default"/>
      </w:rPr>
    </w:lvl>
    <w:lvl w:ilvl="1">
      <w:start w:val="1"/>
      <w:numFmt w:val="decimal"/>
      <w:lvlText w:val="%1.%2"/>
      <w:lvlJc w:val="left"/>
      <w:pPr>
        <w:ind w:left="688" w:hanging="329"/>
        <w:jc w:val="left"/>
      </w:pPr>
      <w:rPr>
        <w:rFonts w:hint="default" w:ascii="Times New Roman" w:hAnsi="Times New Roman" w:eastAsia="Times New Roman" w:cs="Times New Roman"/>
        <w:spacing w:val="0"/>
        <w:w w:val="102"/>
        <w:sz w:val="21"/>
        <w:szCs w:val="21"/>
      </w:rPr>
    </w:lvl>
    <w:lvl w:ilvl="2">
      <w:start w:val="1"/>
      <w:numFmt w:val="decimal"/>
      <w:lvlText w:val="%1.%2.%3"/>
      <w:lvlJc w:val="left"/>
      <w:pPr>
        <w:ind w:left="1092" w:hanging="494"/>
        <w:jc w:val="left"/>
      </w:pPr>
      <w:rPr>
        <w:rFonts w:hint="default" w:ascii="Palatino Linotype" w:hAnsi="Palatino Linotype" w:eastAsia="Palatino Linotype" w:cs="Palatino Linotype"/>
        <w:spacing w:val="0"/>
        <w:w w:val="102"/>
        <w:sz w:val="21"/>
        <w:szCs w:val="21"/>
      </w:rPr>
    </w:lvl>
    <w:lvl w:ilvl="3">
      <w:start w:val="1"/>
      <w:numFmt w:val="bullet"/>
      <w:lvlText w:val="•"/>
      <w:lvlJc w:val="left"/>
      <w:pPr>
        <w:ind w:left="2824" w:hanging="494"/>
      </w:pPr>
      <w:rPr>
        <w:rFonts w:hint="default"/>
      </w:rPr>
    </w:lvl>
    <w:lvl w:ilvl="4">
      <w:start w:val="1"/>
      <w:numFmt w:val="bullet"/>
      <w:lvlText w:val="•"/>
      <w:lvlJc w:val="left"/>
      <w:pPr>
        <w:ind w:left="3686" w:hanging="494"/>
      </w:pPr>
      <w:rPr>
        <w:rFonts w:hint="default"/>
      </w:rPr>
    </w:lvl>
    <w:lvl w:ilvl="5">
      <w:start w:val="1"/>
      <w:numFmt w:val="bullet"/>
      <w:lvlText w:val="•"/>
      <w:lvlJc w:val="left"/>
      <w:pPr>
        <w:ind w:left="4548" w:hanging="494"/>
      </w:pPr>
      <w:rPr>
        <w:rFonts w:hint="default"/>
      </w:rPr>
    </w:lvl>
    <w:lvl w:ilvl="6">
      <w:start w:val="1"/>
      <w:numFmt w:val="bullet"/>
      <w:lvlText w:val="•"/>
      <w:lvlJc w:val="left"/>
      <w:pPr>
        <w:ind w:left="5411" w:hanging="494"/>
      </w:pPr>
      <w:rPr>
        <w:rFonts w:hint="default"/>
      </w:rPr>
    </w:lvl>
    <w:lvl w:ilvl="7">
      <w:start w:val="1"/>
      <w:numFmt w:val="bullet"/>
      <w:lvlText w:val="•"/>
      <w:lvlJc w:val="left"/>
      <w:pPr>
        <w:ind w:left="6273" w:hanging="494"/>
      </w:pPr>
      <w:rPr>
        <w:rFonts w:hint="default"/>
      </w:rPr>
    </w:lvl>
    <w:lvl w:ilvl="8">
      <w:start w:val="1"/>
      <w:numFmt w:val="bullet"/>
      <w:lvlText w:val="•"/>
      <w:lvlJc w:val="left"/>
      <w:pPr>
        <w:ind w:left="7135" w:hanging="494"/>
      </w:pPr>
      <w:rPr>
        <w:rFonts w:hint="default"/>
      </w:rPr>
    </w:lvl>
  </w:abstractNum>
  <w:abstractNum w:abstractNumId="0">
    <w:multiLevelType w:val="hybridMultilevel"/>
    <w:lvl w:ilvl="0">
      <w:start w:val="1"/>
      <w:numFmt w:val="decimal"/>
      <w:lvlText w:val="%1"/>
      <w:lvlJc w:val="left"/>
      <w:pPr>
        <w:ind w:left="359" w:hanging="329"/>
        <w:jc w:val="left"/>
      </w:pPr>
      <w:rPr>
        <w:rFonts w:hint="default"/>
      </w:rPr>
    </w:lvl>
    <w:lvl w:ilvl="1">
      <w:start w:val="1"/>
      <w:numFmt w:val="decimal"/>
      <w:lvlText w:val="%1.%2"/>
      <w:lvlJc w:val="left"/>
      <w:pPr>
        <w:ind w:left="359" w:hanging="329"/>
        <w:jc w:val="left"/>
      </w:pPr>
      <w:rPr>
        <w:rFonts w:hint="default" w:ascii="Times New Roman" w:hAnsi="Times New Roman" w:eastAsia="Times New Roman" w:cs="Times New Roman"/>
        <w:spacing w:val="0"/>
        <w:w w:val="102"/>
        <w:sz w:val="21"/>
        <w:szCs w:val="21"/>
      </w:rPr>
    </w:lvl>
    <w:lvl w:ilvl="2">
      <w:start w:val="1"/>
      <w:numFmt w:val="bullet"/>
      <w:lvlText w:val="•"/>
      <w:lvlJc w:val="left"/>
      <w:pPr>
        <w:ind w:left="2060" w:hanging="329"/>
      </w:pPr>
      <w:rPr>
        <w:rFonts w:hint="default"/>
      </w:rPr>
    </w:lvl>
    <w:lvl w:ilvl="3">
      <w:start w:val="1"/>
      <w:numFmt w:val="bullet"/>
      <w:lvlText w:val="•"/>
      <w:lvlJc w:val="left"/>
      <w:pPr>
        <w:ind w:left="2910" w:hanging="329"/>
      </w:pPr>
      <w:rPr>
        <w:rFonts w:hint="default"/>
      </w:rPr>
    </w:lvl>
    <w:lvl w:ilvl="4">
      <w:start w:val="1"/>
      <w:numFmt w:val="bullet"/>
      <w:lvlText w:val="•"/>
      <w:lvlJc w:val="left"/>
      <w:pPr>
        <w:ind w:left="3760" w:hanging="329"/>
      </w:pPr>
      <w:rPr>
        <w:rFonts w:hint="default"/>
      </w:rPr>
    </w:lvl>
    <w:lvl w:ilvl="5">
      <w:start w:val="1"/>
      <w:numFmt w:val="bullet"/>
      <w:lvlText w:val="•"/>
      <w:lvlJc w:val="left"/>
      <w:pPr>
        <w:ind w:left="4610" w:hanging="329"/>
      </w:pPr>
      <w:rPr>
        <w:rFonts w:hint="default"/>
      </w:rPr>
    </w:lvl>
    <w:lvl w:ilvl="6">
      <w:start w:val="1"/>
      <w:numFmt w:val="bullet"/>
      <w:lvlText w:val="•"/>
      <w:lvlJc w:val="left"/>
      <w:pPr>
        <w:ind w:left="5460" w:hanging="329"/>
      </w:pPr>
      <w:rPr>
        <w:rFonts w:hint="default"/>
      </w:rPr>
    </w:lvl>
    <w:lvl w:ilvl="7">
      <w:start w:val="1"/>
      <w:numFmt w:val="bullet"/>
      <w:lvlText w:val="•"/>
      <w:lvlJc w:val="left"/>
      <w:pPr>
        <w:ind w:left="6310" w:hanging="329"/>
      </w:pPr>
      <w:rPr>
        <w:rFonts w:hint="default"/>
      </w:rPr>
    </w:lvl>
    <w:lvl w:ilvl="8">
      <w:start w:val="1"/>
      <w:numFmt w:val="bullet"/>
      <w:lvlText w:val="•"/>
      <w:lvlJc w:val="left"/>
      <w:pPr>
        <w:ind w:left="7160" w:hanging="329"/>
      </w:pPr>
      <w:rPr>
        <w:rFonts w:hint="default"/>
      </w:rPr>
    </w:lvl>
  </w:abstract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133"/>
      <w:ind w:left="119"/>
    </w:pPr>
    <w:rPr>
      <w:rFonts w:ascii="Times New Roman" w:hAnsi="Times New Roman" w:eastAsia="Times New Roman" w:cs="Times New Roman"/>
      <w:sz w:val="24"/>
      <w:szCs w:val="24"/>
    </w:rPr>
  </w:style>
  <w:style w:styleId="TOC2" w:type="paragraph">
    <w:name w:val="TOC 2"/>
    <w:basedOn w:val="Normal"/>
    <w:uiPriority w:val="1"/>
    <w:qFormat/>
    <w:pPr>
      <w:spacing w:before="5"/>
      <w:ind w:left="688" w:hanging="329"/>
    </w:pPr>
    <w:rPr>
      <w:rFonts w:ascii="Times New Roman" w:hAnsi="Times New Roman" w:eastAsia="Times New Roman" w:cs="Times New Roman"/>
      <w:sz w:val="21"/>
      <w:szCs w:val="21"/>
    </w:rPr>
  </w:style>
  <w:style w:styleId="TOC3" w:type="paragraph">
    <w:name w:val="TOC 3"/>
    <w:basedOn w:val="Normal"/>
    <w:uiPriority w:val="1"/>
    <w:qFormat/>
    <w:pPr>
      <w:spacing w:line="266" w:lineRule="exact"/>
      <w:ind w:left="1092" w:hanging="493"/>
    </w:pPr>
    <w:rPr>
      <w:rFonts w:ascii="Palatino Linotype" w:hAnsi="Palatino Linotype" w:eastAsia="Palatino Linotype" w:cs="Palatino Linotype"/>
      <w:sz w:val="21"/>
      <w:szCs w:val="21"/>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ind w:left="119"/>
      <w:jc w:val="both"/>
      <w:outlineLvl w:val="1"/>
    </w:pPr>
    <w:rPr>
      <w:rFonts w:ascii="Palatino Linotype" w:hAnsi="Palatino Linotype" w:eastAsia="Palatino Linotype" w:cs="Palatino Linotype"/>
      <w:sz w:val="28"/>
      <w:szCs w:val="28"/>
    </w:rPr>
  </w:style>
  <w:style w:styleId="ListParagraph" w:type="paragraph">
    <w:name w:val="List Paragraph"/>
    <w:basedOn w:val="Normal"/>
    <w:uiPriority w:val="1"/>
    <w:qFormat/>
    <w:pPr>
      <w:ind w:left="839" w:hanging="360"/>
      <w:jc w:val="both"/>
    </w:pPr>
    <w:rPr>
      <w:rFonts w:ascii="Times New Roman" w:hAnsi="Times New Roman" w:eastAsia="Times New Roman" w:cs="Times New Roman"/>
    </w:rPr>
  </w:style>
  <w:style w:styleId="TableParagraph" w:type="paragraph">
    <w:name w:val="Table Paragraph"/>
    <w:basedOn w:val="Normal"/>
    <w:uiPriority w:val="1"/>
    <w:qFormat/>
    <w:pPr>
      <w:ind w:left="100"/>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Olivier.Niggli@wada-ama.org" TargetMode="External"/><Relationship Id="rId6" Type="http://schemas.openxmlformats.org/officeDocument/2006/relationships/image" Target="media/image1.jpeg"/><Relationship Id="rId7" Type="http://schemas.openxmlformats.org/officeDocument/2006/relationships/hyperlink" Target="mailto:mclaren@mckenzielake.com" TargetMode="Externa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footer" Target="footer6.xml"/><Relationship Id="rId14" Type="http://schemas.openxmlformats.org/officeDocument/2006/relationships/image" Target="media/image5.png"/><Relationship Id="rId15" Type="http://schemas.openxmlformats.org/officeDocument/2006/relationships/footer" Target="footer7.xml"/><Relationship Id="rId16" Type="http://schemas.openxmlformats.org/officeDocument/2006/relationships/image" Target="media/image6.png"/><Relationship Id="rId17" Type="http://schemas.openxmlformats.org/officeDocument/2006/relationships/footer" Target="footer8.xml"/><Relationship Id="rId18" Type="http://schemas.openxmlformats.org/officeDocument/2006/relationships/footer" Target="footer9.xml"/><Relationship Id="rId19" Type="http://schemas.openxmlformats.org/officeDocument/2006/relationships/image" Target="media/image7.png"/><Relationship Id="rId20" Type="http://schemas.openxmlformats.org/officeDocument/2006/relationships/footer" Target="footer10.xml"/><Relationship Id="rId21" Type="http://schemas.openxmlformats.org/officeDocument/2006/relationships/hyperlink" Target="http://www.nytimes.com/2016/05/13/sports/russia-doping-sochi-" TargetMode="External"/><Relationship Id="rId22" Type="http://schemas.openxmlformats.org/officeDocument/2006/relationships/footer" Target="footer11.xml"/><Relationship Id="rId23" Type="http://schemas.openxmlformats.org/officeDocument/2006/relationships/image" Target="media/image4.png"/><Relationship Id="rId24" Type="http://schemas.openxmlformats.org/officeDocument/2006/relationships/footer" Target="footer12.xml"/><Relationship Id="rId25" Type="http://schemas.openxmlformats.org/officeDocument/2006/relationships/footer" Target="footer13.xml"/><Relationship Id="rId26" Type="http://schemas.openxmlformats.org/officeDocument/2006/relationships/footer" Target="footer14.xml"/><Relationship Id="rId27" Type="http://schemas.openxmlformats.org/officeDocument/2006/relationships/image" Target="media/image9.png"/><Relationship Id="rId28" Type="http://schemas.openxmlformats.org/officeDocument/2006/relationships/footer" Target="footer15.xml"/><Relationship Id="rId29" Type="http://schemas.openxmlformats.org/officeDocument/2006/relationships/footer" Target="footer16.xml"/><Relationship Id="rId30" Type="http://schemas.openxmlformats.org/officeDocument/2006/relationships/footer" Target="footer17.xml"/><Relationship Id="rId31" Type="http://schemas.openxmlformats.org/officeDocument/2006/relationships/footer" Target="footer18.xml"/><Relationship Id="rId32" Type="http://schemas.openxmlformats.org/officeDocument/2006/relationships/footer" Target="footer19.xml"/><Relationship Id="rId33" Type="http://schemas.openxmlformats.org/officeDocument/2006/relationships/image" Target="media/image11.png"/><Relationship Id="rId34" Type="http://schemas.openxmlformats.org/officeDocument/2006/relationships/image" Target="media/image12.png"/><Relationship Id="rId35" Type="http://schemas.openxmlformats.org/officeDocument/2006/relationships/image" Target="media/image13.png"/><Relationship Id="rId36" Type="http://schemas.openxmlformats.org/officeDocument/2006/relationships/footer" Target="footer20.xml"/><Relationship Id="rId37" Type="http://schemas.openxmlformats.org/officeDocument/2006/relationships/image" Target="media/image14.png"/><Relationship Id="rId38" Type="http://schemas.openxmlformats.org/officeDocument/2006/relationships/image" Target="media/image15.png"/><Relationship Id="rId39" Type="http://schemas.openxmlformats.org/officeDocument/2006/relationships/image" Target="media/image16.png"/><Relationship Id="rId40" Type="http://schemas.openxmlformats.org/officeDocument/2006/relationships/image" Target="media/image17.png"/><Relationship Id="rId41" Type="http://schemas.openxmlformats.org/officeDocument/2006/relationships/image" Target="media/image18.png"/><Relationship Id="rId42" Type="http://schemas.openxmlformats.org/officeDocument/2006/relationships/image" Target="media/image19.png"/><Relationship Id="rId43" Type="http://schemas.openxmlformats.org/officeDocument/2006/relationships/image" Target="media/image20.png"/><Relationship Id="rId44" Type="http://schemas.openxmlformats.org/officeDocument/2006/relationships/image" Target="media/image21.png"/><Relationship Id="rId45" Type="http://schemas.openxmlformats.org/officeDocument/2006/relationships/image" Target="media/image22.png"/><Relationship Id="rId46" Type="http://schemas.openxmlformats.org/officeDocument/2006/relationships/image" Target="media/image23.png"/><Relationship Id="rId47" Type="http://schemas.openxmlformats.org/officeDocument/2006/relationships/image" Target="media/image24.png"/><Relationship Id="rId48" Type="http://schemas.openxmlformats.org/officeDocument/2006/relationships/image" Target="media/image25.png"/><Relationship Id="rId49" Type="http://schemas.openxmlformats.org/officeDocument/2006/relationships/image" Target="media/image26.png"/><Relationship Id="rId50" Type="http://schemas.openxmlformats.org/officeDocument/2006/relationships/image" Target="media/image27.png"/><Relationship Id="rId51" Type="http://schemas.openxmlformats.org/officeDocument/2006/relationships/image" Target="media/image28.png"/><Relationship Id="rId52" Type="http://schemas.openxmlformats.org/officeDocument/2006/relationships/image" Target="media/image29.png"/><Relationship Id="rId53" Type="http://schemas.openxmlformats.org/officeDocument/2006/relationships/image" Target="media/image30.png"/><Relationship Id="rId54" Type="http://schemas.openxmlformats.org/officeDocument/2006/relationships/image" Target="media/image31.png"/><Relationship Id="rId55" Type="http://schemas.openxmlformats.org/officeDocument/2006/relationships/image" Target="media/image32.png"/><Relationship Id="rId56" Type="http://schemas.openxmlformats.org/officeDocument/2006/relationships/image" Target="media/image33.png"/><Relationship Id="rId57" Type="http://schemas.openxmlformats.org/officeDocument/2006/relationships/image" Target="media/image34.png"/><Relationship Id="rId58" Type="http://schemas.openxmlformats.org/officeDocument/2006/relationships/image" Target="media/image35.png"/><Relationship Id="rId59" Type="http://schemas.openxmlformats.org/officeDocument/2006/relationships/image" Target="media/image36.png"/><Relationship Id="rId60" Type="http://schemas.openxmlformats.org/officeDocument/2006/relationships/image" Target="media/image37.png"/><Relationship Id="rId61" Type="http://schemas.openxmlformats.org/officeDocument/2006/relationships/image" Target="media/image38.png"/><Relationship Id="rId62" Type="http://schemas.openxmlformats.org/officeDocument/2006/relationships/image" Target="media/image39.png"/><Relationship Id="rId63" Type="http://schemas.openxmlformats.org/officeDocument/2006/relationships/image" Target="media/image40.png"/><Relationship Id="rId64" Type="http://schemas.openxmlformats.org/officeDocument/2006/relationships/image" Target="media/image41.png"/><Relationship Id="rId65" Type="http://schemas.openxmlformats.org/officeDocument/2006/relationships/image" Target="media/image42.png"/><Relationship Id="rId66" Type="http://schemas.openxmlformats.org/officeDocument/2006/relationships/image" Target="media/image43.png"/><Relationship Id="rId67" Type="http://schemas.openxmlformats.org/officeDocument/2006/relationships/image" Target="media/image44.png"/><Relationship Id="rId68" Type="http://schemas.openxmlformats.org/officeDocument/2006/relationships/image" Target="media/image45.png"/><Relationship Id="rId69" Type="http://schemas.openxmlformats.org/officeDocument/2006/relationships/image" Target="media/image46.png"/><Relationship Id="rId70" Type="http://schemas.openxmlformats.org/officeDocument/2006/relationships/image" Target="media/image47.png"/><Relationship Id="rId71" Type="http://schemas.openxmlformats.org/officeDocument/2006/relationships/image" Target="media/image48.png"/><Relationship Id="rId72" Type="http://schemas.openxmlformats.org/officeDocument/2006/relationships/image" Target="media/image49.png"/><Relationship Id="rId73" Type="http://schemas.openxmlformats.org/officeDocument/2006/relationships/image" Target="media/image50.png"/><Relationship Id="rId74" Type="http://schemas.openxmlformats.org/officeDocument/2006/relationships/image" Target="media/image51.png"/><Relationship Id="rId75" Type="http://schemas.openxmlformats.org/officeDocument/2006/relationships/image" Target="media/image52.png"/><Relationship Id="rId76" Type="http://schemas.openxmlformats.org/officeDocument/2006/relationships/image" Target="media/image53.png"/><Relationship Id="rId77" Type="http://schemas.openxmlformats.org/officeDocument/2006/relationships/image" Target="media/image54.png"/><Relationship Id="rId78" Type="http://schemas.openxmlformats.org/officeDocument/2006/relationships/image" Target="media/image55.png"/><Relationship Id="rId79" Type="http://schemas.openxmlformats.org/officeDocument/2006/relationships/footer" Target="footer21.xml"/><Relationship Id="rId80" Type="http://schemas.openxmlformats.org/officeDocument/2006/relationships/image" Target="media/image57.png"/><Relationship Id="rId81" Type="http://schemas.openxmlformats.org/officeDocument/2006/relationships/image" Target="media/image58.png"/><Relationship Id="rId82" Type="http://schemas.openxmlformats.org/officeDocument/2006/relationships/image" Target="media/image59.png"/><Relationship Id="rId83" Type="http://schemas.openxmlformats.org/officeDocument/2006/relationships/image" Target="media/image60.png"/><Relationship Id="rId84" Type="http://schemas.openxmlformats.org/officeDocument/2006/relationships/image" Target="media/image61.png"/><Relationship Id="rId85" Type="http://schemas.openxmlformats.org/officeDocument/2006/relationships/image" Target="media/image62.png"/><Relationship Id="rId86" Type="http://schemas.openxmlformats.org/officeDocument/2006/relationships/image" Target="media/image63.png"/><Relationship Id="rId87" Type="http://schemas.openxmlformats.org/officeDocument/2006/relationships/image" Target="media/image64.png"/><Relationship Id="rId88" Type="http://schemas.openxmlformats.org/officeDocument/2006/relationships/image" Target="media/image65.png"/><Relationship Id="rId89" Type="http://schemas.openxmlformats.org/officeDocument/2006/relationships/image" Target="media/image66.png"/><Relationship Id="rId90" Type="http://schemas.openxmlformats.org/officeDocument/2006/relationships/image" Target="media/image67.png"/><Relationship Id="rId91" Type="http://schemas.openxmlformats.org/officeDocument/2006/relationships/image" Target="media/image68.png"/><Relationship Id="rId92" Type="http://schemas.openxmlformats.org/officeDocument/2006/relationships/image" Target="media/image69.png"/><Relationship Id="rId93" Type="http://schemas.openxmlformats.org/officeDocument/2006/relationships/image" Target="media/image70.png"/><Relationship Id="rId94" Type="http://schemas.openxmlformats.org/officeDocument/2006/relationships/image" Target="media/image71.png"/><Relationship Id="rId95" Type="http://schemas.openxmlformats.org/officeDocument/2006/relationships/image" Target="media/image72.png"/><Relationship Id="rId96" Type="http://schemas.openxmlformats.org/officeDocument/2006/relationships/image" Target="media/image73.png"/><Relationship Id="rId97" Type="http://schemas.openxmlformats.org/officeDocument/2006/relationships/image" Target="media/image74.png"/><Relationship Id="rId98" Type="http://schemas.openxmlformats.org/officeDocument/2006/relationships/image" Target="media/image75.png"/><Relationship Id="rId99" Type="http://schemas.openxmlformats.org/officeDocument/2006/relationships/image" Target="media/image76.png"/><Relationship Id="rId100" Type="http://schemas.openxmlformats.org/officeDocument/2006/relationships/image" Target="media/image77.png"/><Relationship Id="rId101" Type="http://schemas.openxmlformats.org/officeDocument/2006/relationships/image" Target="media/image78.png"/><Relationship Id="rId102" Type="http://schemas.openxmlformats.org/officeDocument/2006/relationships/image" Target="media/image79.png"/><Relationship Id="rId103" Type="http://schemas.openxmlformats.org/officeDocument/2006/relationships/image" Target="media/image80.png"/><Relationship Id="rId104" Type="http://schemas.openxmlformats.org/officeDocument/2006/relationships/image" Target="media/image81.png"/><Relationship Id="rId105" Type="http://schemas.openxmlformats.org/officeDocument/2006/relationships/image" Target="media/image82.png"/><Relationship Id="rId106" Type="http://schemas.openxmlformats.org/officeDocument/2006/relationships/image" Target="media/image83.png"/><Relationship Id="rId107" Type="http://schemas.openxmlformats.org/officeDocument/2006/relationships/image" Target="media/image84.png"/><Relationship Id="rId108" Type="http://schemas.openxmlformats.org/officeDocument/2006/relationships/image" Target="media/image85.png"/><Relationship Id="rId109" Type="http://schemas.openxmlformats.org/officeDocument/2006/relationships/image" Target="media/image86.png"/><Relationship Id="rId110" Type="http://schemas.openxmlformats.org/officeDocument/2006/relationships/footer" Target="footer22.xml"/><Relationship Id="rId111" Type="http://schemas.openxmlformats.org/officeDocument/2006/relationships/footer" Target="footer23.xml"/><Relationship Id="rId112" Type="http://schemas.openxmlformats.org/officeDocument/2006/relationships/hyperlink" Target="http://www.minsport.gov.ru/en/" TargetMode="External"/><Relationship Id="rId113" Type="http://schemas.openxmlformats.org/officeDocument/2006/relationships/footer" Target="footer24.xml"/><Relationship Id="rId114" Type="http://schemas.openxmlformats.org/officeDocument/2006/relationships/image" Target="media/image87.png"/><Relationship Id="rId115" Type="http://schemas.openxmlformats.org/officeDocument/2006/relationships/footer" Target="footer25.xml"/><Relationship Id="rId116" Type="http://schemas.openxmlformats.org/officeDocument/2006/relationships/hyperlink" Target="http://www.litvinenkoinquiry.org/files/Litvinenko-Inquiry-Report-web-" TargetMode="External"/><Relationship Id="rId117" Type="http://schemas.openxmlformats.org/officeDocument/2006/relationships/hyperlink" Target="http://www.litvinenkoinquiry.org/files/INQ019146x.pdf" TargetMode="External"/><Relationship Id="rId118" Type="http://schemas.openxmlformats.org/officeDocument/2006/relationships/footer" Target="footer26.xml"/><Relationship Id="rId119" Type="http://schemas.openxmlformats.org/officeDocument/2006/relationships/image" Target="media/image88.png"/><Relationship Id="rId120" Type="http://schemas.openxmlformats.org/officeDocument/2006/relationships/footer" Target="footer27.xml"/><Relationship Id="rId121" Type="http://schemas.openxmlformats.org/officeDocument/2006/relationships/image" Target="media/image89.png"/><Relationship Id="rId122" Type="http://schemas.openxmlformats.org/officeDocument/2006/relationships/footer" Target="footer28.xml"/><Relationship Id="rId123" Type="http://schemas.openxmlformats.org/officeDocument/2006/relationships/image" Target="media/image91.png"/><Relationship Id="rId124" Type="http://schemas.openxmlformats.org/officeDocument/2006/relationships/image" Target="media/image92.png"/><Relationship Id="rId125" Type="http://schemas.openxmlformats.org/officeDocument/2006/relationships/image" Target="media/image93.png"/><Relationship Id="rId126" Type="http://schemas.openxmlformats.org/officeDocument/2006/relationships/image" Target="media/image94.png"/><Relationship Id="rId127" Type="http://schemas.openxmlformats.org/officeDocument/2006/relationships/image" Target="media/image95.png"/><Relationship Id="rId128" Type="http://schemas.openxmlformats.org/officeDocument/2006/relationships/image" Target="media/image96.png"/><Relationship Id="rId129" Type="http://schemas.openxmlformats.org/officeDocument/2006/relationships/image" Target="media/image97.png"/><Relationship Id="rId130" Type="http://schemas.openxmlformats.org/officeDocument/2006/relationships/image" Target="media/image98.png"/><Relationship Id="rId131" Type="http://schemas.openxmlformats.org/officeDocument/2006/relationships/footer" Target="footer29.xml"/><Relationship Id="rId132" Type="http://schemas.openxmlformats.org/officeDocument/2006/relationships/image" Target="media/image99.png"/><Relationship Id="rId133" Type="http://schemas.openxmlformats.org/officeDocument/2006/relationships/footer" Target="footer30.xml"/><Relationship Id="rId134" Type="http://schemas.openxmlformats.org/officeDocument/2006/relationships/footer" Target="footer31.xml"/><Relationship Id="rId135" Type="http://schemas.openxmlformats.org/officeDocument/2006/relationships/footer" Target="footer32.xml"/><Relationship Id="rId136" Type="http://schemas.openxmlformats.org/officeDocument/2006/relationships/image" Target="media/image101.png"/><Relationship Id="rId137" Type="http://schemas.openxmlformats.org/officeDocument/2006/relationships/footer" Target="footer33.xml"/><Relationship Id="rId138" Type="http://schemas.openxmlformats.org/officeDocument/2006/relationships/image" Target="media/image2.png"/><Relationship Id="rId139" Type="http://schemas.openxmlformats.org/officeDocument/2006/relationships/footer" Target="footer34.xml"/><Relationship Id="rId140" Type="http://schemas.openxmlformats.org/officeDocument/2006/relationships/image" Target="media/image102.png"/><Relationship Id="rId141" Type="http://schemas.openxmlformats.org/officeDocument/2006/relationships/footer" Target="footer35.xml"/><Relationship Id="rId142" Type="http://schemas.openxmlformats.org/officeDocument/2006/relationships/footer" Target="footer36.xml"/><Relationship Id="rId143" Type="http://schemas.openxmlformats.org/officeDocument/2006/relationships/footer" Target="footer37.xml"/><Relationship Id="rId144" Type="http://schemas.openxmlformats.org/officeDocument/2006/relationships/footer" Target="footer38.xml"/><Relationship Id="rId145" Type="http://schemas.openxmlformats.org/officeDocument/2006/relationships/image" Target="media/image105.png"/><Relationship Id="rId146" Type="http://schemas.openxmlformats.org/officeDocument/2006/relationships/footer" Target="footer39.xml"/><Relationship Id="rId147" Type="http://schemas.openxmlformats.org/officeDocument/2006/relationships/numbering" Target="numbering.xml"/></Relationships>

</file>

<file path=word/_rels/footer10.xml.rels><?xml version="1.0" encoding="UTF-8" standalone="yes"?>
<Relationships xmlns="http://schemas.openxmlformats.org/package/2006/relationships"><Relationship Id="rId1" Type="http://schemas.openxmlformats.org/officeDocument/2006/relationships/image" Target="media/image8.png"/></Relationships>

</file>

<file path=word/_rels/footer17.xml.rels><?xml version="1.0" encoding="UTF-8" standalone="yes"?>
<Relationships xmlns="http://schemas.openxmlformats.org/package/2006/relationships"><Relationship Id="rId1" Type="http://schemas.openxmlformats.org/officeDocument/2006/relationships/image" Target="media/image10.png"/></Relationships>

</file>

<file path=word/_rels/footer18.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21.xml.rels><?xml version="1.0" encoding="UTF-8" standalone="yes"?>
<Relationships xmlns="http://schemas.openxmlformats.org/package/2006/relationships"><Relationship Id="rId1" Type="http://schemas.openxmlformats.org/officeDocument/2006/relationships/image" Target="media/image56.png"/></Relationships>

</file>

<file path=word/_rels/footer22.xml.rels><?xml version="1.0" encoding="UTF-8" standalone="yes"?>
<Relationships xmlns="http://schemas.openxmlformats.org/package/2006/relationships"><Relationship Id="rId1" Type="http://schemas.openxmlformats.org/officeDocument/2006/relationships/image" Target="media/image4.png"/></Relationships>

</file>

<file path=word/_rels/footer28.xml.rels><?xml version="1.0" encoding="UTF-8" standalone="yes"?>
<Relationships xmlns="http://schemas.openxmlformats.org/package/2006/relationships"><Relationship Id="rId1" Type="http://schemas.openxmlformats.org/officeDocument/2006/relationships/image" Target="media/image90.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30.xml.rels><?xml version="1.0" encoding="UTF-8" standalone="yes"?>
<Relationships xmlns="http://schemas.openxmlformats.org/package/2006/relationships"><Relationship Id="rId1" Type="http://schemas.openxmlformats.org/officeDocument/2006/relationships/image" Target="media/image100.png"/></Relationships>

</file>

<file path=word/_rels/footer31.xml.rels><?xml version="1.0" encoding="UTF-8" standalone="yes"?>
<Relationships xmlns="http://schemas.openxmlformats.org/package/2006/relationships"><Relationship Id="rId1" Type="http://schemas.openxmlformats.org/officeDocument/2006/relationships/image" Target="media/image2.png"/></Relationships>

</file>

<file path=word/_rels/footer36.xml.rels><?xml version="1.0" encoding="UTF-8" standalone="yes"?>
<Relationships xmlns="http://schemas.openxmlformats.org/package/2006/relationships"><Relationship Id="rId1" Type="http://schemas.openxmlformats.org/officeDocument/2006/relationships/image" Target="media/image103.png"/></Relationships>

</file>

<file path=word/_rels/footer37.xml.rels><?xml version="1.0" encoding="UTF-8" standalone="yes"?>
<Relationships xmlns="http://schemas.openxmlformats.org/package/2006/relationships"><Relationship Id="rId1" Type="http://schemas.openxmlformats.org/officeDocument/2006/relationships/image" Target="media/image104.png"/><Relationship Id="rId2" Type="http://schemas.openxmlformats.org/officeDocument/2006/relationships/image" Target="media/image4.png"/></Relationships>

</file>

<file path=word/_rels/footer39.xml.rels><?xml version="1.0" encoding="UTF-8" standalone="yes"?>
<Relationships xmlns="http://schemas.openxmlformats.org/package/2006/relationships"><Relationship Id="rId1" Type="http://schemas.openxmlformats.org/officeDocument/2006/relationships/image" Target="media/image10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japo</dc:creator>
  <dc:title>20160718_IP REPORT FINAL.pdf</dc:title>
  <dcterms:created xsi:type="dcterms:W3CDTF">2016-07-18T17:06:12Z</dcterms:created>
  <dcterms:modified xsi:type="dcterms:W3CDTF">2016-07-18T17:06:12Z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2016-07-18T00:00:00Z</vt:filetime>
  </property>
  <property fmtid="{D5CDD505-2E9C-101B-9397-08002B2CF9AE}" pid="3" name="Creator">
    <vt:lpwstr>PScript5.dll Version 5.2.2</vt:lpwstr>
  </property>
  <property fmtid="{D5CDD505-2E9C-101B-9397-08002B2CF9AE}" pid="4" name="LastSaved">
    <vt:filetime>2016-07-18T00:00:00Z</vt:filetime>
  </property>
</Properties>
</file>